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7641" w14:textId="289D5E79" w:rsidR="00E31F88" w:rsidRPr="00BF1021" w:rsidRDefault="00995237" w:rsidP="00C938CE">
      <w:pPr>
        <w:pStyle w:val="NoSpacing"/>
        <w:ind w:left="720"/>
        <w:rPr>
          <w:rFonts w:ascii="Segoe UI" w:hAnsi="Segoe UI" w:cs="Segoe UI"/>
          <w:b/>
          <w:color w:val="33BA6B"/>
          <w:szCs w:val="20"/>
        </w:rPr>
      </w:pPr>
      <w:r w:rsidRPr="00995237">
        <w:rPr>
          <w:rFonts w:ascii="Segoe UI" w:hAnsi="Segoe UI" w:cs="Segoe UI"/>
          <w:b/>
          <w:sz w:val="32"/>
          <w:szCs w:val="16"/>
        </w:rPr>
        <w:t>Advancing Roles for Cannabis Pharmacists</w:t>
      </w:r>
      <w:r w:rsidR="002D4D9F">
        <w:rPr>
          <w:rFonts w:ascii="Segoe UI" w:hAnsi="Segoe UI" w:cs="Segoe UI"/>
          <w:b/>
          <w:sz w:val="32"/>
          <w:szCs w:val="16"/>
        </w:rPr>
        <w:br/>
      </w:r>
      <w:r w:rsidR="00E31F88" w:rsidRPr="00BF1021">
        <w:rPr>
          <w:rFonts w:ascii="Segoe UI" w:hAnsi="Segoe UI" w:cs="Segoe UI"/>
          <w:b/>
          <w:color w:val="33BA6B"/>
          <w:szCs w:val="20"/>
        </w:rPr>
        <w:t>Learning Objectives:</w:t>
      </w:r>
    </w:p>
    <w:p w14:paraId="264A56E2" w14:textId="27FD29E1" w:rsidR="00E31F88" w:rsidRDefault="00E31F88" w:rsidP="00C938CE">
      <w:pPr>
        <w:pStyle w:val="NoSpacing"/>
        <w:ind w:left="720"/>
        <w:rPr>
          <w:rFonts w:ascii="Segoe UI" w:hAnsi="Segoe UI" w:cs="Segoe UI"/>
          <w:i/>
          <w:sz w:val="20"/>
          <w:szCs w:val="20"/>
        </w:rPr>
      </w:pPr>
      <w:r w:rsidRPr="00F908A9">
        <w:rPr>
          <w:rFonts w:ascii="Segoe UI" w:hAnsi="Segoe UI" w:cs="Segoe UI"/>
          <w:i/>
          <w:sz w:val="20"/>
          <w:szCs w:val="20"/>
        </w:rPr>
        <w:t>Upon successful completion</w:t>
      </w:r>
      <w:r w:rsidR="007A3980">
        <w:rPr>
          <w:rFonts w:ascii="Segoe UI" w:hAnsi="Segoe UI" w:cs="Segoe UI"/>
          <w:i/>
          <w:sz w:val="20"/>
          <w:szCs w:val="20"/>
        </w:rPr>
        <w:t xml:space="preserve"> of this knowledge-based course</w:t>
      </w:r>
      <w:r w:rsidRPr="00F908A9">
        <w:rPr>
          <w:rFonts w:ascii="Segoe UI" w:hAnsi="Segoe UI" w:cs="Segoe UI"/>
          <w:i/>
          <w:sz w:val="20"/>
          <w:szCs w:val="20"/>
        </w:rPr>
        <w:t xml:space="preserve"> pharmacists should be able to:</w:t>
      </w:r>
    </w:p>
    <w:p w14:paraId="414F2013" w14:textId="77777777" w:rsidR="00F91508" w:rsidRPr="00F91508" w:rsidRDefault="00F91508" w:rsidP="00C938CE">
      <w:pPr>
        <w:pStyle w:val="NoSpacing"/>
        <w:ind w:left="720"/>
        <w:rPr>
          <w:rFonts w:ascii="Segoe UI" w:hAnsi="Segoe UI" w:cs="Segoe UI"/>
          <w:color w:val="auto"/>
          <w:sz w:val="20"/>
          <w:szCs w:val="20"/>
        </w:rPr>
      </w:pPr>
      <w:r w:rsidRPr="00F91508">
        <w:rPr>
          <w:rFonts w:ascii="Segoe UI" w:hAnsi="Segoe UI" w:cs="Segoe UI"/>
          <w:color w:val="auto"/>
          <w:sz w:val="20"/>
          <w:szCs w:val="20"/>
        </w:rPr>
        <w:t>1. Identify states and countries that require a pharmacist in their medical Cannabis program</w:t>
      </w:r>
    </w:p>
    <w:p w14:paraId="138E45B5" w14:textId="77777777" w:rsidR="00F91508" w:rsidRPr="00F91508" w:rsidRDefault="00F91508" w:rsidP="00C938CE">
      <w:pPr>
        <w:pStyle w:val="NoSpacing"/>
        <w:ind w:left="720"/>
        <w:rPr>
          <w:rFonts w:ascii="Segoe UI" w:hAnsi="Segoe UI" w:cs="Segoe UI"/>
          <w:color w:val="auto"/>
          <w:sz w:val="20"/>
          <w:szCs w:val="20"/>
        </w:rPr>
      </w:pPr>
      <w:r w:rsidRPr="00F91508">
        <w:rPr>
          <w:rFonts w:ascii="Segoe UI" w:hAnsi="Segoe UI" w:cs="Segoe UI"/>
          <w:color w:val="auto"/>
          <w:sz w:val="20"/>
          <w:szCs w:val="20"/>
        </w:rPr>
        <w:t>2. Demonstrate different roles of the pharmacist in medical versus recreational state programs</w:t>
      </w:r>
    </w:p>
    <w:p w14:paraId="5414EB32" w14:textId="77777777" w:rsidR="00F91508" w:rsidRPr="00F91508" w:rsidRDefault="00F91508" w:rsidP="00C938CE">
      <w:pPr>
        <w:pStyle w:val="NoSpacing"/>
        <w:ind w:left="720"/>
        <w:rPr>
          <w:rFonts w:ascii="Segoe UI" w:hAnsi="Segoe UI" w:cs="Segoe UI"/>
          <w:color w:val="auto"/>
          <w:sz w:val="20"/>
          <w:szCs w:val="20"/>
        </w:rPr>
      </w:pPr>
      <w:r w:rsidRPr="00F91508">
        <w:rPr>
          <w:rFonts w:ascii="Segoe UI" w:hAnsi="Segoe UI" w:cs="Segoe UI"/>
          <w:color w:val="auto"/>
          <w:sz w:val="20"/>
          <w:szCs w:val="20"/>
        </w:rPr>
        <w:t>3. Review potential formulations that are available in medical Cannabis programs</w:t>
      </w:r>
    </w:p>
    <w:p w14:paraId="442B27D2" w14:textId="418FD114" w:rsidR="002D4D9F" w:rsidRDefault="00F91508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  <w:r w:rsidRPr="00F91508">
        <w:rPr>
          <w:rFonts w:ascii="Segoe UI" w:hAnsi="Segoe UI" w:cs="Segoe UI"/>
          <w:color w:val="auto"/>
          <w:sz w:val="20"/>
          <w:szCs w:val="20"/>
        </w:rPr>
        <w:t>4. Compare the role of different governing bodies in state and federal Cannabis programs</w:t>
      </w:r>
    </w:p>
    <w:p w14:paraId="01143EF9" w14:textId="77777777" w:rsidR="001934F4" w:rsidRPr="001934F4" w:rsidRDefault="001934F4" w:rsidP="00C938CE">
      <w:pPr>
        <w:pStyle w:val="NoSpacing"/>
        <w:ind w:left="720"/>
        <w:rPr>
          <w:rFonts w:ascii="Segoe UI" w:hAnsi="Segoe UI" w:cs="Segoe UI"/>
          <w:sz w:val="24"/>
          <w:szCs w:val="24"/>
        </w:rPr>
      </w:pPr>
    </w:p>
    <w:p w14:paraId="66E4AC59" w14:textId="77777777" w:rsidR="00E31F88" w:rsidRPr="00BF1021" w:rsidRDefault="00E31F88" w:rsidP="00C938CE">
      <w:pPr>
        <w:pStyle w:val="NoSpacing"/>
        <w:ind w:left="720"/>
        <w:rPr>
          <w:rFonts w:ascii="Segoe UI" w:hAnsi="Segoe UI" w:cs="Segoe UI"/>
          <w:b/>
          <w:color w:val="33BA6B"/>
          <w:szCs w:val="20"/>
        </w:rPr>
      </w:pPr>
      <w:r w:rsidRPr="00BF1021">
        <w:rPr>
          <w:rFonts w:ascii="Segoe UI" w:hAnsi="Segoe UI" w:cs="Segoe UI"/>
          <w:b/>
          <w:color w:val="33BA6B"/>
          <w:szCs w:val="20"/>
        </w:rPr>
        <w:t>Faculty:</w:t>
      </w:r>
      <w:r w:rsidRPr="00BF1021">
        <w:rPr>
          <w:rFonts w:ascii="Segoe UI" w:hAnsi="Segoe UI" w:cs="Segoe UI"/>
          <w:b/>
          <w:color w:val="33BA6B"/>
          <w:szCs w:val="20"/>
        </w:rPr>
        <w:tab/>
      </w:r>
    </w:p>
    <w:p w14:paraId="7AA46272" w14:textId="7D079E4A" w:rsidR="008D6476" w:rsidRPr="007E3F0F" w:rsidRDefault="009469E0" w:rsidP="0058764D">
      <w:pPr>
        <w:pStyle w:val="NoSpacing"/>
        <w:ind w:left="720"/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 w:rsidRPr="007E3F0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Melani Kane</w:t>
      </w:r>
      <w:r w:rsidR="008602BB" w:rsidRPr="007E3F0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, PharmD</w:t>
      </w:r>
    </w:p>
    <w:p w14:paraId="1D26D926" w14:textId="547DDCD7" w:rsidR="009469E0" w:rsidRPr="007E3F0F" w:rsidRDefault="00FB3DFE" w:rsidP="0058764D">
      <w:pPr>
        <w:pStyle w:val="NoSpacing"/>
        <w:ind w:left="720"/>
        <w:rPr>
          <w:rFonts w:ascii="Segoe UI" w:hAnsi="Segoe UI" w:cs="Segoe UI"/>
          <w:color w:val="2B3245"/>
          <w:sz w:val="20"/>
          <w:szCs w:val="20"/>
        </w:rPr>
      </w:pPr>
      <w:bookmarkStart w:id="0" w:name="_Hlk44504986"/>
      <w:r w:rsidRPr="007E3F0F">
        <w:rPr>
          <w:rFonts w:ascii="Segoe UI" w:hAnsi="Segoe UI" w:cs="Segoe UI"/>
          <w:color w:val="2B3245"/>
          <w:sz w:val="20"/>
          <w:szCs w:val="20"/>
        </w:rPr>
        <w:t xml:space="preserve">Executive Director, </w:t>
      </w:r>
      <w:proofErr w:type="spellStart"/>
      <w:r w:rsidRPr="007E3F0F">
        <w:rPr>
          <w:rFonts w:ascii="Segoe UI" w:hAnsi="Segoe UI" w:cs="Segoe UI"/>
          <w:color w:val="2B3245"/>
          <w:sz w:val="20"/>
          <w:szCs w:val="20"/>
        </w:rPr>
        <w:t>ISCPh</w:t>
      </w:r>
      <w:proofErr w:type="spellEnd"/>
    </w:p>
    <w:bookmarkEnd w:id="0"/>
    <w:p w14:paraId="15732FE7" w14:textId="77777777" w:rsidR="007E3F0F" w:rsidRPr="00F102C9" w:rsidRDefault="007E3F0F" w:rsidP="0058764D">
      <w:pPr>
        <w:pStyle w:val="NoSpacing"/>
        <w:ind w:left="720"/>
        <w:rPr>
          <w:rFonts w:ascii="Segoe UI" w:hAnsi="Segoe UI" w:cs="Segoe UI"/>
          <w:sz w:val="16"/>
          <w:szCs w:val="16"/>
        </w:rPr>
      </w:pPr>
    </w:p>
    <w:p w14:paraId="2306BDC9" w14:textId="3F7C0FB4" w:rsidR="00350ECC" w:rsidRPr="007E3F0F" w:rsidRDefault="00350ECC" w:rsidP="0058764D">
      <w:pPr>
        <w:pStyle w:val="NoSpacing"/>
        <w:ind w:left="720"/>
        <w:rPr>
          <w:rFonts w:ascii="Segoe UI" w:hAnsi="Segoe UI" w:cs="Segoe UI"/>
          <w:b/>
          <w:bCs/>
          <w:sz w:val="20"/>
          <w:szCs w:val="20"/>
        </w:rPr>
      </w:pPr>
      <w:r w:rsidRPr="007E3F0F">
        <w:rPr>
          <w:rFonts w:ascii="Segoe UI" w:hAnsi="Segoe UI" w:cs="Segoe UI"/>
          <w:b/>
          <w:bCs/>
          <w:sz w:val="20"/>
          <w:szCs w:val="20"/>
        </w:rPr>
        <w:t>Michael A Ruggiero PharmD, AAHIVP</w:t>
      </w:r>
    </w:p>
    <w:p w14:paraId="76319DB1" w14:textId="5C0B8013" w:rsidR="00350ECC" w:rsidRPr="007E3F0F" w:rsidRDefault="00350ECC" w:rsidP="0058764D">
      <w:pPr>
        <w:pStyle w:val="NoSpacing"/>
        <w:ind w:left="720"/>
        <w:rPr>
          <w:rFonts w:ascii="Segoe UI" w:eastAsia="Times New Roman" w:hAnsi="Segoe UI" w:cs="Segoe UI"/>
          <w:sz w:val="20"/>
          <w:szCs w:val="20"/>
        </w:rPr>
      </w:pPr>
      <w:r w:rsidRPr="007E3F0F">
        <w:rPr>
          <w:rFonts w:ascii="Segoe UI" w:eastAsia="Times New Roman" w:hAnsi="Segoe UI" w:cs="Segoe UI"/>
          <w:sz w:val="20"/>
          <w:szCs w:val="20"/>
        </w:rPr>
        <w:t>Cannabis Pharmacist</w:t>
      </w:r>
      <w:r w:rsidR="00706F97" w:rsidRPr="007E3F0F">
        <w:rPr>
          <w:rFonts w:ascii="Segoe UI" w:eastAsia="Times New Roman" w:hAnsi="Segoe UI" w:cs="Segoe UI"/>
          <w:sz w:val="20"/>
          <w:szCs w:val="20"/>
        </w:rPr>
        <w:t xml:space="preserve">, </w:t>
      </w:r>
      <w:r w:rsidRPr="007E3F0F">
        <w:rPr>
          <w:rFonts w:ascii="Segoe UI" w:eastAsia="Times New Roman" w:hAnsi="Segoe UI" w:cs="Segoe UI"/>
          <w:sz w:val="20"/>
          <w:szCs w:val="20"/>
        </w:rPr>
        <w:t>Beyond/Hello</w:t>
      </w:r>
      <w:r w:rsidR="00A90AB1" w:rsidRPr="007E3F0F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="00A90AB1" w:rsidRPr="007E3F0F">
        <w:rPr>
          <w:rFonts w:ascii="Segoe UI" w:eastAsia="Times New Roman" w:hAnsi="Segoe UI" w:cs="Segoe UI"/>
          <w:sz w:val="20"/>
          <w:szCs w:val="20"/>
        </w:rPr>
        <w:t>Jushi</w:t>
      </w:r>
      <w:proofErr w:type="spellEnd"/>
      <w:r w:rsidRPr="007E3F0F">
        <w:rPr>
          <w:rFonts w:ascii="Segoe UI" w:eastAsia="Times New Roman" w:hAnsi="Segoe UI" w:cs="Segoe UI"/>
          <w:sz w:val="20"/>
          <w:szCs w:val="20"/>
        </w:rPr>
        <w:t xml:space="preserve"> </w:t>
      </w:r>
    </w:p>
    <w:p w14:paraId="773DFCC7" w14:textId="77777777" w:rsidR="007E3F0F" w:rsidRPr="00F102C9" w:rsidRDefault="007E3F0F" w:rsidP="0058764D">
      <w:pPr>
        <w:pStyle w:val="NoSpacing"/>
        <w:ind w:left="720"/>
        <w:rPr>
          <w:rFonts w:ascii="Segoe UI" w:eastAsia="Times New Roman" w:hAnsi="Segoe UI" w:cs="Segoe UI"/>
          <w:sz w:val="16"/>
          <w:szCs w:val="16"/>
        </w:rPr>
      </w:pPr>
    </w:p>
    <w:p w14:paraId="13B48E48" w14:textId="7F017DA4" w:rsidR="00F0794F" w:rsidRPr="007E3F0F" w:rsidRDefault="003C40DF" w:rsidP="0058764D">
      <w:pPr>
        <w:pStyle w:val="NoSpacing"/>
        <w:ind w:left="720"/>
        <w:rPr>
          <w:rFonts w:ascii="Segoe UI" w:eastAsia="Times New Roman" w:hAnsi="Segoe UI" w:cs="Segoe UI"/>
          <w:b/>
          <w:bCs/>
          <w:sz w:val="20"/>
          <w:szCs w:val="20"/>
        </w:rPr>
      </w:pPr>
      <w:r w:rsidRPr="007E3F0F">
        <w:rPr>
          <w:rFonts w:ascii="Segoe UI" w:eastAsia="Times New Roman" w:hAnsi="Segoe UI" w:cs="Segoe UI"/>
          <w:b/>
          <w:bCs/>
          <w:sz w:val="20"/>
          <w:szCs w:val="20"/>
        </w:rPr>
        <w:t xml:space="preserve">Kelsey </w:t>
      </w:r>
      <w:proofErr w:type="spellStart"/>
      <w:r w:rsidRPr="007E3F0F">
        <w:rPr>
          <w:rFonts w:ascii="Segoe UI" w:eastAsia="Times New Roman" w:hAnsi="Segoe UI" w:cs="Segoe UI"/>
          <w:b/>
          <w:bCs/>
          <w:sz w:val="20"/>
          <w:szCs w:val="20"/>
        </w:rPr>
        <w:t>Echelbarger</w:t>
      </w:r>
      <w:proofErr w:type="spellEnd"/>
      <w:r w:rsidR="008870A7" w:rsidRPr="007E3F0F">
        <w:rPr>
          <w:rFonts w:ascii="Segoe UI" w:eastAsia="Times New Roman" w:hAnsi="Segoe UI" w:cs="Segoe UI"/>
          <w:b/>
          <w:bCs/>
          <w:sz w:val="20"/>
          <w:szCs w:val="20"/>
        </w:rPr>
        <w:t>, PharmD, RPh</w:t>
      </w:r>
    </w:p>
    <w:p w14:paraId="242A33A2" w14:textId="66E0B56D" w:rsidR="008870A7" w:rsidRPr="007E3F0F" w:rsidRDefault="008870A7" w:rsidP="0058764D">
      <w:pPr>
        <w:pStyle w:val="NoSpacing"/>
        <w:ind w:left="720"/>
        <w:rPr>
          <w:rFonts w:ascii="Segoe UI" w:eastAsia="Times New Roman" w:hAnsi="Segoe UI" w:cs="Segoe UI"/>
          <w:sz w:val="20"/>
          <w:szCs w:val="20"/>
        </w:rPr>
      </w:pPr>
      <w:r w:rsidRPr="007E3F0F">
        <w:rPr>
          <w:rFonts w:ascii="Segoe UI" w:eastAsia="Times New Roman" w:hAnsi="Segoe UI" w:cs="Segoe UI"/>
          <w:sz w:val="20"/>
          <w:szCs w:val="20"/>
        </w:rPr>
        <w:t xml:space="preserve">Founder, </w:t>
      </w:r>
      <w:proofErr w:type="spellStart"/>
      <w:r w:rsidRPr="007E3F0F">
        <w:rPr>
          <w:rFonts w:ascii="Segoe UI" w:eastAsia="Times New Roman" w:hAnsi="Segoe UI" w:cs="Segoe UI"/>
          <w:sz w:val="20"/>
          <w:szCs w:val="20"/>
        </w:rPr>
        <w:t>GreenWall</w:t>
      </w:r>
      <w:proofErr w:type="spellEnd"/>
      <w:r w:rsidRPr="007E3F0F">
        <w:rPr>
          <w:rFonts w:ascii="Segoe UI" w:eastAsia="Times New Roman" w:hAnsi="Segoe UI" w:cs="Segoe UI"/>
          <w:sz w:val="20"/>
          <w:szCs w:val="20"/>
        </w:rPr>
        <w:t xml:space="preserve"> Consult</w:t>
      </w:r>
      <w:r w:rsidR="00706F97" w:rsidRPr="007E3F0F">
        <w:rPr>
          <w:rFonts w:ascii="Segoe UI" w:eastAsia="Times New Roman" w:hAnsi="Segoe UI" w:cs="Segoe UI"/>
          <w:sz w:val="20"/>
          <w:szCs w:val="20"/>
        </w:rPr>
        <w:t>ing</w:t>
      </w:r>
    </w:p>
    <w:p w14:paraId="3A5A8DDA" w14:textId="77777777" w:rsidR="007E3F0F" w:rsidRPr="00F102C9" w:rsidRDefault="007E3F0F" w:rsidP="0058764D">
      <w:pPr>
        <w:pStyle w:val="NoSpacing"/>
        <w:ind w:left="720"/>
        <w:rPr>
          <w:rFonts w:ascii="Segoe UI" w:hAnsi="Segoe UI" w:cs="Segoe UI"/>
          <w:sz w:val="16"/>
          <w:szCs w:val="16"/>
        </w:rPr>
      </w:pPr>
    </w:p>
    <w:p w14:paraId="3A80A7F8" w14:textId="20175668" w:rsidR="00232346" w:rsidRPr="007E3F0F" w:rsidRDefault="00232346" w:rsidP="0058764D">
      <w:pPr>
        <w:pStyle w:val="NoSpacing"/>
        <w:ind w:left="720"/>
        <w:rPr>
          <w:rFonts w:ascii="Segoe UI" w:hAnsi="Segoe UI" w:cs="Segoe UI"/>
          <w:b/>
          <w:bCs/>
          <w:sz w:val="20"/>
          <w:szCs w:val="20"/>
        </w:rPr>
      </w:pPr>
      <w:r w:rsidRPr="007E3F0F">
        <w:rPr>
          <w:rFonts w:ascii="Segoe UI" w:hAnsi="Segoe UI" w:cs="Segoe UI"/>
          <w:b/>
          <w:bCs/>
          <w:sz w:val="20"/>
          <w:szCs w:val="20"/>
        </w:rPr>
        <w:t xml:space="preserve">Dr. </w:t>
      </w:r>
      <w:proofErr w:type="spellStart"/>
      <w:r w:rsidRPr="007E3F0F">
        <w:rPr>
          <w:rFonts w:ascii="Segoe UI" w:hAnsi="Segoe UI" w:cs="Segoe UI"/>
          <w:b/>
          <w:bCs/>
          <w:sz w:val="20"/>
          <w:szCs w:val="20"/>
        </w:rPr>
        <w:t>Simrit</w:t>
      </w:r>
      <w:proofErr w:type="spellEnd"/>
      <w:r w:rsidRPr="007E3F0F">
        <w:rPr>
          <w:rFonts w:ascii="Segoe UI" w:hAnsi="Segoe UI" w:cs="Segoe UI"/>
          <w:b/>
          <w:bCs/>
          <w:sz w:val="20"/>
          <w:szCs w:val="20"/>
        </w:rPr>
        <w:t xml:space="preserve"> Burn, BS, MS, PharmD</w:t>
      </w:r>
    </w:p>
    <w:p w14:paraId="2B186E22" w14:textId="4901AEA8" w:rsidR="00A905A5" w:rsidRPr="007E3F0F" w:rsidRDefault="0027639F" w:rsidP="0058764D">
      <w:pPr>
        <w:pStyle w:val="NoSpacing"/>
        <w:ind w:left="720"/>
        <w:rPr>
          <w:rFonts w:ascii="Segoe UI" w:hAnsi="Segoe UI" w:cs="Segoe UI"/>
          <w:sz w:val="20"/>
          <w:szCs w:val="20"/>
        </w:rPr>
      </w:pPr>
      <w:r w:rsidRPr="007E3F0F">
        <w:rPr>
          <w:rFonts w:ascii="Segoe UI" w:hAnsi="Segoe UI" w:cs="Segoe UI"/>
          <w:sz w:val="20"/>
          <w:szCs w:val="20"/>
        </w:rPr>
        <w:t>Clinical Cannabis Pharmacist at CannaPharmacistOK.com</w:t>
      </w:r>
    </w:p>
    <w:p w14:paraId="1936E013" w14:textId="77777777" w:rsidR="007E3F0F" w:rsidRPr="00F102C9" w:rsidRDefault="007E3F0F" w:rsidP="0058764D">
      <w:pPr>
        <w:pStyle w:val="NoSpacing"/>
        <w:ind w:left="720"/>
        <w:rPr>
          <w:rFonts w:ascii="Segoe UI" w:hAnsi="Segoe UI" w:cs="Segoe UI"/>
          <w:sz w:val="16"/>
          <w:szCs w:val="16"/>
        </w:rPr>
      </w:pPr>
    </w:p>
    <w:p w14:paraId="0926514A" w14:textId="3F00B545" w:rsidR="00A905A5" w:rsidRPr="007E3F0F" w:rsidRDefault="00F01366" w:rsidP="0058764D">
      <w:pPr>
        <w:pStyle w:val="NoSpacing"/>
        <w:ind w:left="720"/>
        <w:rPr>
          <w:rFonts w:ascii="Segoe UI" w:hAnsi="Segoe UI" w:cs="Segoe UI"/>
          <w:sz w:val="20"/>
          <w:szCs w:val="20"/>
        </w:rPr>
      </w:pPr>
      <w:r w:rsidRPr="00F102C9">
        <w:rPr>
          <w:rFonts w:ascii="Segoe UI" w:hAnsi="Segoe UI" w:cs="Segoe UI"/>
          <w:b/>
          <w:bCs/>
          <w:sz w:val="20"/>
          <w:szCs w:val="20"/>
        </w:rPr>
        <w:t xml:space="preserve">Jordan Williams </w:t>
      </w:r>
      <w:r w:rsidRPr="00F102C9">
        <w:rPr>
          <w:rFonts w:ascii="Segoe UI" w:hAnsi="Segoe UI" w:cs="Segoe UI"/>
          <w:sz w:val="20"/>
          <w:szCs w:val="20"/>
        </w:rPr>
        <w:br/>
      </w:r>
      <w:r w:rsidRPr="007E3F0F">
        <w:rPr>
          <w:rFonts w:ascii="Segoe UI" w:hAnsi="Segoe UI" w:cs="Segoe UI"/>
          <w:sz w:val="20"/>
          <w:szCs w:val="20"/>
        </w:rPr>
        <w:t>Doctor of Pharmacy Candidate 2022</w:t>
      </w:r>
    </w:p>
    <w:p w14:paraId="13323897" w14:textId="77777777" w:rsidR="00850ADC" w:rsidRPr="000F39A9" w:rsidRDefault="00850ADC" w:rsidP="0058764D">
      <w:pPr>
        <w:pStyle w:val="NoSpacing"/>
        <w:ind w:left="720"/>
      </w:pPr>
    </w:p>
    <w:p w14:paraId="676288D5" w14:textId="73C88B1A" w:rsidR="00E31F88" w:rsidRPr="00BF1021" w:rsidRDefault="00E31F88" w:rsidP="00C938CE">
      <w:pPr>
        <w:pStyle w:val="NoSpacing"/>
        <w:tabs>
          <w:tab w:val="left" w:pos="2955"/>
        </w:tabs>
        <w:ind w:left="720"/>
        <w:rPr>
          <w:rFonts w:ascii="Segoe UI" w:hAnsi="Segoe UI" w:cs="Segoe UI"/>
          <w:b/>
          <w:color w:val="33BA6B"/>
          <w:sz w:val="20"/>
          <w:szCs w:val="20"/>
        </w:rPr>
      </w:pPr>
      <w:r w:rsidRPr="00BF1021">
        <w:rPr>
          <w:rFonts w:ascii="Segoe UI" w:hAnsi="Segoe UI" w:cs="Segoe UI"/>
          <w:b/>
          <w:color w:val="33BA6B"/>
          <w:szCs w:val="20"/>
        </w:rPr>
        <w:t>Faculty Disclosure</w:t>
      </w:r>
      <w:r w:rsidR="009D2C8D">
        <w:rPr>
          <w:rFonts w:ascii="Segoe UI" w:hAnsi="Segoe UI" w:cs="Segoe UI"/>
          <w:b/>
          <w:color w:val="33BA6B"/>
          <w:szCs w:val="20"/>
        </w:rPr>
        <w:t>s</w:t>
      </w:r>
      <w:r w:rsidRPr="00BF1021">
        <w:rPr>
          <w:rFonts w:ascii="Segoe UI" w:hAnsi="Segoe UI" w:cs="Segoe UI"/>
          <w:b/>
          <w:color w:val="33BA6B"/>
          <w:szCs w:val="20"/>
        </w:rPr>
        <w:t>:</w:t>
      </w:r>
      <w:r w:rsidR="00E01365" w:rsidRPr="00BF1021">
        <w:rPr>
          <w:rFonts w:ascii="Segoe UI" w:hAnsi="Segoe UI" w:cs="Segoe UI"/>
          <w:b/>
          <w:color w:val="33BA6B"/>
          <w:sz w:val="20"/>
          <w:szCs w:val="20"/>
        </w:rPr>
        <w:tab/>
      </w:r>
    </w:p>
    <w:p w14:paraId="2A6B4A60" w14:textId="12E08FC6" w:rsidR="002B2CF9" w:rsidRDefault="002B2CF9" w:rsidP="00C938CE">
      <w:pPr>
        <w:spacing w:after="0" w:line="240" w:lineRule="auto"/>
        <w:ind w:left="720"/>
        <w:rPr>
          <w:rFonts w:ascii="Segoe UI" w:hAnsi="Segoe UI" w:cs="Segoe UI"/>
          <w:color w:val="2B3245"/>
          <w:sz w:val="20"/>
          <w:szCs w:val="20"/>
        </w:rPr>
      </w:pPr>
      <w:r w:rsidRPr="002B2CF9">
        <w:rPr>
          <w:rFonts w:ascii="Segoe UI" w:hAnsi="Segoe UI" w:cs="Segoe UI"/>
          <w:color w:val="2B3245"/>
          <w:sz w:val="20"/>
          <w:szCs w:val="20"/>
        </w:rPr>
        <w:t xml:space="preserve">Dr. Kane does not report any actual or potential conflicts of interest in relation to this continuing pharmacy education course. </w:t>
      </w:r>
    </w:p>
    <w:p w14:paraId="699DDE14" w14:textId="77777777" w:rsidR="00502435" w:rsidRPr="00214FAB" w:rsidRDefault="00502435" w:rsidP="00C938CE">
      <w:pPr>
        <w:spacing w:after="0" w:line="240" w:lineRule="auto"/>
        <w:ind w:left="720"/>
        <w:rPr>
          <w:rFonts w:ascii="Segoe UI" w:hAnsi="Segoe UI" w:cs="Segoe UI"/>
          <w:color w:val="2B3245"/>
          <w:sz w:val="16"/>
          <w:szCs w:val="16"/>
        </w:rPr>
      </w:pPr>
    </w:p>
    <w:p w14:paraId="058CF2EA" w14:textId="628CE068" w:rsidR="00350ECC" w:rsidRPr="0075162D" w:rsidRDefault="00350ECC" w:rsidP="00C938CE">
      <w:pPr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75162D">
        <w:rPr>
          <w:rFonts w:ascii="Segoe UI" w:hAnsi="Segoe UI" w:cs="Segoe UI"/>
          <w:color w:val="2B3245"/>
          <w:sz w:val="20"/>
          <w:szCs w:val="20"/>
        </w:rPr>
        <w:t xml:space="preserve">Dr. Ruggiero reports that he is an employee of </w:t>
      </w:r>
      <w:r w:rsidRPr="0075162D">
        <w:rPr>
          <w:rFonts w:ascii="Segoe UI" w:eastAsia="Times New Roman" w:hAnsi="Segoe UI" w:cs="Segoe UI"/>
          <w:color w:val="000000"/>
          <w:sz w:val="20"/>
          <w:szCs w:val="20"/>
        </w:rPr>
        <w:t xml:space="preserve">Beyond/Hello, </w:t>
      </w:r>
      <w:proofErr w:type="spellStart"/>
      <w:r w:rsidRPr="0075162D">
        <w:rPr>
          <w:rFonts w:ascii="Segoe UI" w:eastAsia="Times New Roman" w:hAnsi="Segoe UI" w:cs="Segoe UI"/>
          <w:color w:val="000000"/>
          <w:sz w:val="20"/>
          <w:szCs w:val="20"/>
        </w:rPr>
        <w:t>Jushi</w:t>
      </w:r>
      <w:proofErr w:type="spellEnd"/>
      <w:r w:rsidR="0075162D" w:rsidRPr="0075162D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564D6264" w14:textId="71C47855" w:rsidR="0075162D" w:rsidRPr="00214FAB" w:rsidRDefault="0075162D" w:rsidP="00C938CE">
      <w:pPr>
        <w:spacing w:after="0" w:line="240" w:lineRule="auto"/>
        <w:ind w:left="720"/>
        <w:rPr>
          <w:rFonts w:ascii="Segoe UI" w:eastAsia="Times New Roman" w:hAnsi="Segoe UI" w:cs="Segoe UI"/>
          <w:color w:val="000000"/>
          <w:sz w:val="16"/>
          <w:szCs w:val="16"/>
        </w:rPr>
      </w:pPr>
    </w:p>
    <w:p w14:paraId="3A4E8EF2" w14:textId="26F073AE" w:rsidR="00291DBE" w:rsidRDefault="00291DBE" w:rsidP="00C938CE">
      <w:pPr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291DBE">
        <w:rPr>
          <w:rFonts w:ascii="Segoe UI" w:eastAsia="Times New Roman" w:hAnsi="Segoe UI" w:cs="Segoe UI"/>
          <w:color w:val="000000"/>
          <w:sz w:val="20"/>
          <w:szCs w:val="20"/>
        </w:rPr>
        <w:t xml:space="preserve">Dr. </w:t>
      </w:r>
      <w:proofErr w:type="spellStart"/>
      <w:r w:rsidR="009D2C8D">
        <w:rPr>
          <w:rFonts w:ascii="Segoe UI" w:eastAsia="Times New Roman" w:hAnsi="Segoe UI" w:cs="Segoe UI"/>
          <w:color w:val="000000"/>
          <w:sz w:val="20"/>
          <w:szCs w:val="20"/>
        </w:rPr>
        <w:t>Echelbarger</w:t>
      </w:r>
      <w:proofErr w:type="spellEnd"/>
      <w:r w:rsidRPr="00291DBE">
        <w:rPr>
          <w:rFonts w:ascii="Segoe UI" w:eastAsia="Times New Roman" w:hAnsi="Segoe UI" w:cs="Segoe UI"/>
          <w:color w:val="000000"/>
          <w:sz w:val="20"/>
          <w:szCs w:val="20"/>
        </w:rPr>
        <w:t xml:space="preserve"> does not report any actual or potential conflicts of interest in relation to this continuing pharmacy education course.</w:t>
      </w:r>
    </w:p>
    <w:p w14:paraId="793334A9" w14:textId="77777777" w:rsidR="00291DBE" w:rsidRPr="00214FAB" w:rsidRDefault="00291DBE" w:rsidP="00C938CE">
      <w:pPr>
        <w:spacing w:after="0" w:line="240" w:lineRule="auto"/>
        <w:ind w:left="720"/>
        <w:rPr>
          <w:rFonts w:ascii="Segoe UI" w:eastAsia="Times New Roman" w:hAnsi="Segoe UI" w:cs="Segoe UI"/>
          <w:color w:val="000000"/>
          <w:sz w:val="16"/>
          <w:szCs w:val="16"/>
        </w:rPr>
      </w:pPr>
    </w:p>
    <w:p w14:paraId="7E410959" w14:textId="005546E1" w:rsidR="003004B0" w:rsidRDefault="00192D53" w:rsidP="003004B0">
      <w:pPr>
        <w:ind w:left="720"/>
      </w:pPr>
      <w:r w:rsidRPr="00192D53">
        <w:t xml:space="preserve">Dr. </w:t>
      </w:r>
      <w:r>
        <w:t xml:space="preserve">Burn </w:t>
      </w:r>
      <w:r w:rsidRPr="00192D53">
        <w:t xml:space="preserve">reports that </w:t>
      </w:r>
      <w:r w:rsidR="00F102C9">
        <w:t>s</w:t>
      </w:r>
      <w:r w:rsidRPr="00192D53">
        <w:t>he is a</w:t>
      </w:r>
      <w:r w:rsidR="00291DBE">
        <w:t xml:space="preserve"> Consultant to DWAW LLC</w:t>
      </w:r>
      <w:r w:rsidRPr="00192D53">
        <w:t>.</w:t>
      </w:r>
    </w:p>
    <w:p w14:paraId="697E0A87" w14:textId="4B2C518A" w:rsidR="007E4CCB" w:rsidRPr="00F01366" w:rsidRDefault="007E4CCB" w:rsidP="003004B0">
      <w:pPr>
        <w:ind w:left="720"/>
      </w:pPr>
      <w:r w:rsidRPr="007E4CCB">
        <w:t>Jordan Williams reports</w:t>
      </w:r>
      <w:r>
        <w:t xml:space="preserve"> that he </w:t>
      </w:r>
      <w:r w:rsidRPr="007E4CCB">
        <w:t>does not report any actual or potential conflicts of interest in relation to this continuing pharmacy education course.</w:t>
      </w:r>
    </w:p>
    <w:p w14:paraId="523A58F7" w14:textId="3A44E382" w:rsidR="008602BB" w:rsidRPr="0075162D" w:rsidRDefault="00266031" w:rsidP="00C938CE">
      <w:pPr>
        <w:pStyle w:val="NoSpacing"/>
        <w:ind w:left="720"/>
        <w:rPr>
          <w:rFonts w:ascii="Segoe UI" w:hAnsi="Segoe UI" w:cs="Segoe UI"/>
          <w:color w:val="2B3245"/>
          <w:sz w:val="20"/>
          <w:szCs w:val="20"/>
        </w:rPr>
      </w:pPr>
      <w:r w:rsidRPr="0075162D">
        <w:rPr>
          <w:rFonts w:ascii="Segoe UI" w:hAnsi="Segoe UI" w:cs="Segoe UI"/>
          <w:sz w:val="20"/>
          <w:szCs w:val="20"/>
        </w:rPr>
        <w:t>CE</w:t>
      </w:r>
      <w:r w:rsidR="002B2CF9">
        <w:rPr>
          <w:rFonts w:ascii="Segoe UI" w:hAnsi="Segoe UI" w:cs="Segoe UI"/>
          <w:sz w:val="20"/>
          <w:szCs w:val="20"/>
        </w:rPr>
        <w:t>i</w:t>
      </w:r>
      <w:r w:rsidR="000C034A">
        <w:rPr>
          <w:rFonts w:ascii="Segoe UI" w:hAnsi="Segoe UI" w:cs="Segoe UI"/>
          <w:sz w:val="20"/>
          <w:szCs w:val="20"/>
        </w:rPr>
        <w:t>mpact</w:t>
      </w:r>
      <w:r w:rsidRPr="0075162D">
        <w:rPr>
          <w:rFonts w:ascii="Segoe UI" w:hAnsi="Segoe UI" w:cs="Segoe UI"/>
          <w:sz w:val="20"/>
          <w:szCs w:val="20"/>
        </w:rPr>
        <w:t xml:space="preserve"> has taken appropriate action for conflict resolution, including external peer review.</w:t>
      </w:r>
    </w:p>
    <w:p w14:paraId="3E8164F1" w14:textId="77777777" w:rsidR="00DA4F0C" w:rsidRDefault="00DA4F0C" w:rsidP="00C938CE">
      <w:pPr>
        <w:pStyle w:val="NoSpacing"/>
        <w:ind w:left="720"/>
        <w:rPr>
          <w:rFonts w:ascii="Segoe UI" w:hAnsi="Segoe UI" w:cs="Segoe UI"/>
          <w:b/>
          <w:color w:val="33BA6B"/>
          <w:sz w:val="20"/>
          <w:szCs w:val="20"/>
        </w:rPr>
      </w:pPr>
    </w:p>
    <w:p w14:paraId="7CAAA7F6" w14:textId="77777777" w:rsidR="00DA4F0C" w:rsidRDefault="00DA4F0C" w:rsidP="00C938CE">
      <w:pPr>
        <w:pStyle w:val="NoSpacing"/>
        <w:ind w:left="720"/>
        <w:rPr>
          <w:rFonts w:ascii="Segoe UI" w:hAnsi="Segoe UI" w:cs="Segoe UI"/>
          <w:b/>
          <w:color w:val="33BA6B"/>
          <w:sz w:val="20"/>
          <w:szCs w:val="20"/>
        </w:rPr>
      </w:pPr>
    </w:p>
    <w:p w14:paraId="28700EB9" w14:textId="5B663FCE" w:rsidR="00E31F88" w:rsidRPr="00D577B8" w:rsidRDefault="00F908A9" w:rsidP="00C938CE">
      <w:pPr>
        <w:pStyle w:val="NoSpacing"/>
        <w:ind w:left="720"/>
        <w:rPr>
          <w:rFonts w:ascii="Segoe UI" w:hAnsi="Segoe UI" w:cs="Segoe UI"/>
          <w:b/>
          <w:color w:val="33BA6B"/>
        </w:rPr>
      </w:pPr>
      <w:r w:rsidRPr="00D577B8">
        <w:rPr>
          <w:rFonts w:ascii="Segoe UI" w:hAnsi="Segoe UI" w:cs="Segoe UI"/>
          <w:b/>
          <w:color w:val="33BA6B"/>
        </w:rPr>
        <w:t>CPE Credit</w:t>
      </w:r>
    </w:p>
    <w:p w14:paraId="6DF19BB5" w14:textId="2FF2C54A" w:rsidR="00E31F88" w:rsidRPr="00F908A9" w:rsidRDefault="00E31F88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  <w:r w:rsidRPr="00F908A9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78CEAB7B" wp14:editId="68B1C994">
            <wp:extent cx="457200" cy="342900"/>
            <wp:effectExtent l="0" t="0" r="0" b="0"/>
            <wp:docPr id="3" name="Picture 3" descr="ACP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PE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8A9">
        <w:rPr>
          <w:rFonts w:ascii="Segoe UI" w:hAnsi="Segoe UI" w:cs="Segoe UI"/>
          <w:sz w:val="20"/>
          <w:szCs w:val="20"/>
        </w:rPr>
        <w:t xml:space="preserve"> CE</w:t>
      </w:r>
      <w:r w:rsidR="003341AA">
        <w:rPr>
          <w:rFonts w:ascii="Segoe UI" w:hAnsi="Segoe UI" w:cs="Segoe UI"/>
          <w:sz w:val="20"/>
          <w:szCs w:val="20"/>
        </w:rPr>
        <w:t>i</w:t>
      </w:r>
      <w:r w:rsidR="00EE1698">
        <w:rPr>
          <w:rFonts w:ascii="Segoe UI" w:hAnsi="Segoe UI" w:cs="Segoe UI"/>
          <w:sz w:val="20"/>
          <w:szCs w:val="20"/>
        </w:rPr>
        <w:t>mpact</w:t>
      </w:r>
      <w:r w:rsidRPr="00F908A9">
        <w:rPr>
          <w:rFonts w:ascii="Segoe UI" w:hAnsi="Segoe UI" w:cs="Segoe UI"/>
          <w:sz w:val="20"/>
          <w:szCs w:val="20"/>
        </w:rPr>
        <w:t xml:space="preserve"> is accredited by the Accreditation Council for Pharmacy Education as a provider of continuing pharmacy education</w:t>
      </w:r>
      <w:proofErr w:type="gramStart"/>
      <w:r w:rsidRPr="00F908A9">
        <w:rPr>
          <w:rFonts w:ascii="Segoe UI" w:hAnsi="Segoe UI" w:cs="Segoe UI"/>
          <w:sz w:val="20"/>
          <w:szCs w:val="20"/>
        </w:rPr>
        <w:t xml:space="preserve">.  </w:t>
      </w:r>
      <w:proofErr w:type="gramEnd"/>
    </w:p>
    <w:p w14:paraId="19DAC3C4" w14:textId="77777777" w:rsidR="0045201B" w:rsidRDefault="0045201B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</w:p>
    <w:p w14:paraId="01109A05" w14:textId="275F201C" w:rsidR="002D4D9F" w:rsidRDefault="00E31F88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  <w:r w:rsidRPr="00F908A9">
        <w:rPr>
          <w:rFonts w:ascii="Segoe UI" w:hAnsi="Segoe UI" w:cs="Segoe UI"/>
          <w:b/>
          <w:sz w:val="20"/>
          <w:szCs w:val="20"/>
        </w:rPr>
        <w:t>UAN:</w:t>
      </w:r>
      <w:r w:rsidR="00F908A9" w:rsidRPr="00F908A9">
        <w:rPr>
          <w:rFonts w:ascii="Segoe UI" w:hAnsi="Segoe UI" w:cs="Segoe UI"/>
          <w:sz w:val="20"/>
          <w:szCs w:val="20"/>
        </w:rPr>
        <w:t xml:space="preserve"> </w:t>
      </w:r>
      <w:r w:rsidR="002D4D9F" w:rsidRPr="00F75C4A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0107-9999-</w:t>
      </w:r>
      <w:r w:rsidR="003B69B1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2</w:t>
      </w:r>
      <w:r w:rsidR="00EE169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1</w:t>
      </w:r>
      <w:r w:rsidR="002D4D9F" w:rsidRPr="00F75C4A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-</w:t>
      </w:r>
      <w:r w:rsidR="00EE169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3</w:t>
      </w:r>
      <w:r w:rsidR="00DE1F86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97</w:t>
      </w:r>
      <w:r w:rsidR="002D4D9F" w:rsidRPr="00F75C4A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-</w:t>
      </w:r>
      <w:r w:rsidR="002D4D9F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H</w:t>
      </w:r>
      <w:r w:rsidR="002D4D9F" w:rsidRPr="00F75C4A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0</w:t>
      </w:r>
      <w:r w:rsidR="002D4D9F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1</w:t>
      </w:r>
      <w:r w:rsidR="002D4D9F" w:rsidRPr="00F75C4A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-P</w:t>
      </w:r>
      <w:r w:rsidR="002D4D9F">
        <w:rPr>
          <w:rFonts w:ascii="Segoe UI" w:hAnsi="Segoe UI" w:cs="Segoe UI"/>
          <w:sz w:val="20"/>
          <w:szCs w:val="20"/>
        </w:rPr>
        <w:t xml:space="preserve"> | </w:t>
      </w:r>
      <w:r w:rsidR="002D4D9F" w:rsidRPr="00F908A9">
        <w:rPr>
          <w:rFonts w:ascii="Segoe UI" w:hAnsi="Segoe UI" w:cs="Segoe UI"/>
          <w:sz w:val="20"/>
          <w:szCs w:val="20"/>
        </w:rPr>
        <w:t>0.</w:t>
      </w:r>
      <w:r w:rsidR="00F927CD">
        <w:rPr>
          <w:rFonts w:ascii="Segoe UI" w:hAnsi="Segoe UI" w:cs="Segoe UI"/>
          <w:sz w:val="20"/>
          <w:szCs w:val="20"/>
        </w:rPr>
        <w:t>2</w:t>
      </w:r>
      <w:r w:rsidR="002D4D9F" w:rsidRPr="00F908A9">
        <w:rPr>
          <w:rFonts w:ascii="Segoe UI" w:hAnsi="Segoe UI" w:cs="Segoe UI"/>
          <w:sz w:val="20"/>
          <w:szCs w:val="20"/>
        </w:rPr>
        <w:t>0 CEUs/</w:t>
      </w:r>
      <w:r w:rsidR="00F927CD">
        <w:rPr>
          <w:rFonts w:ascii="Segoe UI" w:hAnsi="Segoe UI" w:cs="Segoe UI"/>
          <w:sz w:val="20"/>
          <w:szCs w:val="20"/>
        </w:rPr>
        <w:t>2</w:t>
      </w:r>
      <w:r w:rsidR="002D4D9F" w:rsidRPr="00F908A9">
        <w:rPr>
          <w:rFonts w:ascii="Segoe UI" w:hAnsi="Segoe UI" w:cs="Segoe UI"/>
          <w:sz w:val="20"/>
          <w:szCs w:val="20"/>
        </w:rPr>
        <w:t>.0 Hrs.</w:t>
      </w:r>
    </w:p>
    <w:p w14:paraId="20507509" w14:textId="77777777" w:rsidR="00C54FB0" w:rsidRDefault="00C54FB0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</w:p>
    <w:p w14:paraId="7E699E81" w14:textId="0815E65F" w:rsidR="00DF7FD2" w:rsidRPr="00DF7FD2" w:rsidRDefault="00DF7FD2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  <w:r w:rsidRPr="00DF7FD2">
        <w:rPr>
          <w:rFonts w:ascii="Segoe UI" w:hAnsi="Segoe UI" w:cs="Segoe UI"/>
          <w:sz w:val="20"/>
          <w:szCs w:val="20"/>
        </w:rPr>
        <w:t xml:space="preserve">On Demand Release Date: </w:t>
      </w:r>
      <w:r w:rsidR="00DE1F86">
        <w:rPr>
          <w:rFonts w:ascii="Segoe UI" w:hAnsi="Segoe UI" w:cs="Segoe UI"/>
          <w:sz w:val="20"/>
          <w:szCs w:val="20"/>
        </w:rPr>
        <w:t>December 3</w:t>
      </w:r>
      <w:r w:rsidR="00DE1F86">
        <w:rPr>
          <w:rFonts w:ascii="Segoe UI" w:hAnsi="Segoe UI" w:cs="Segoe UI"/>
          <w:sz w:val="20"/>
          <w:szCs w:val="20"/>
          <w:vertAlign w:val="superscript"/>
        </w:rPr>
        <w:t>rd</w:t>
      </w:r>
      <w:r w:rsidRPr="00DF7FD2">
        <w:rPr>
          <w:rFonts w:ascii="Segoe UI" w:hAnsi="Segoe UI" w:cs="Segoe UI"/>
          <w:sz w:val="20"/>
          <w:szCs w:val="20"/>
        </w:rPr>
        <w:t>, 20</w:t>
      </w:r>
      <w:r w:rsidR="003B69B1">
        <w:rPr>
          <w:rFonts w:ascii="Segoe UI" w:hAnsi="Segoe UI" w:cs="Segoe UI"/>
          <w:sz w:val="20"/>
          <w:szCs w:val="20"/>
        </w:rPr>
        <w:t>2</w:t>
      </w:r>
      <w:r w:rsidR="00B52CA6">
        <w:rPr>
          <w:rFonts w:ascii="Segoe UI" w:hAnsi="Segoe UI" w:cs="Segoe UI"/>
          <w:sz w:val="20"/>
          <w:szCs w:val="20"/>
        </w:rPr>
        <w:t>1</w:t>
      </w:r>
    </w:p>
    <w:p w14:paraId="34F2AB7B" w14:textId="00239DBA" w:rsidR="00DF7FD2" w:rsidRPr="00DF7FD2" w:rsidRDefault="00DF7FD2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  <w:r w:rsidRPr="00DF7FD2">
        <w:rPr>
          <w:rFonts w:ascii="Segoe UI" w:hAnsi="Segoe UI" w:cs="Segoe UI"/>
          <w:sz w:val="20"/>
          <w:szCs w:val="20"/>
        </w:rPr>
        <w:t xml:space="preserve">On Demand Expiration Date: </w:t>
      </w:r>
      <w:r w:rsidR="00DE1F86">
        <w:rPr>
          <w:rFonts w:ascii="Segoe UI" w:hAnsi="Segoe UI" w:cs="Segoe UI"/>
          <w:sz w:val="20"/>
          <w:szCs w:val="20"/>
        </w:rPr>
        <w:t>December</w:t>
      </w:r>
      <w:r w:rsidR="00B52CA6">
        <w:rPr>
          <w:rFonts w:ascii="Segoe UI" w:hAnsi="Segoe UI" w:cs="Segoe UI"/>
          <w:sz w:val="20"/>
          <w:szCs w:val="20"/>
        </w:rPr>
        <w:t xml:space="preserve"> </w:t>
      </w:r>
      <w:r w:rsidR="00DE1F86">
        <w:rPr>
          <w:rFonts w:ascii="Segoe UI" w:hAnsi="Segoe UI" w:cs="Segoe UI"/>
          <w:sz w:val="20"/>
          <w:szCs w:val="20"/>
        </w:rPr>
        <w:t>3</w:t>
      </w:r>
      <w:r w:rsidR="00DE1F86">
        <w:rPr>
          <w:rFonts w:ascii="Segoe UI" w:hAnsi="Segoe UI" w:cs="Segoe UI"/>
          <w:sz w:val="20"/>
          <w:szCs w:val="20"/>
          <w:vertAlign w:val="superscript"/>
        </w:rPr>
        <w:t>r</w:t>
      </w:r>
      <w:r w:rsidR="002950DF">
        <w:rPr>
          <w:rFonts w:ascii="Segoe UI" w:hAnsi="Segoe UI" w:cs="Segoe UI"/>
          <w:sz w:val="20"/>
          <w:szCs w:val="20"/>
          <w:vertAlign w:val="superscript"/>
        </w:rPr>
        <w:t>d</w:t>
      </w:r>
      <w:r w:rsidR="003B69B1" w:rsidRPr="00DF7FD2">
        <w:rPr>
          <w:rFonts w:ascii="Segoe UI" w:hAnsi="Segoe UI" w:cs="Segoe UI"/>
          <w:sz w:val="20"/>
          <w:szCs w:val="20"/>
        </w:rPr>
        <w:t>, 20</w:t>
      </w:r>
      <w:r w:rsidR="003B69B1">
        <w:rPr>
          <w:rFonts w:ascii="Segoe UI" w:hAnsi="Segoe UI" w:cs="Segoe UI"/>
          <w:sz w:val="20"/>
          <w:szCs w:val="20"/>
        </w:rPr>
        <w:t>2</w:t>
      </w:r>
      <w:r w:rsidR="00EB518C">
        <w:rPr>
          <w:rFonts w:ascii="Segoe UI" w:hAnsi="Segoe UI" w:cs="Segoe UI"/>
          <w:sz w:val="20"/>
          <w:szCs w:val="20"/>
        </w:rPr>
        <w:t>4</w:t>
      </w:r>
    </w:p>
    <w:p w14:paraId="26EE43FD" w14:textId="77777777" w:rsidR="009C0D4C" w:rsidRDefault="009C0D4C" w:rsidP="00C938CE">
      <w:pPr>
        <w:pStyle w:val="NoSpacing"/>
        <w:ind w:left="720"/>
        <w:rPr>
          <w:rFonts w:ascii="Segoe UI" w:hAnsi="Segoe UI" w:cs="Segoe UI"/>
          <w:i/>
          <w:sz w:val="20"/>
          <w:szCs w:val="20"/>
        </w:rPr>
      </w:pPr>
    </w:p>
    <w:p w14:paraId="54A90DC3" w14:textId="136264C8" w:rsidR="00163A6A" w:rsidRPr="00F908A9" w:rsidRDefault="00163A6A" w:rsidP="00C938CE">
      <w:pPr>
        <w:pStyle w:val="NoSpacing"/>
        <w:ind w:left="72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ON DEMAND: </w:t>
      </w:r>
      <w:r w:rsidRPr="00F908A9">
        <w:rPr>
          <w:rFonts w:ascii="Segoe UI" w:hAnsi="Segoe UI" w:cs="Segoe UI"/>
          <w:i/>
          <w:sz w:val="20"/>
          <w:szCs w:val="20"/>
        </w:rPr>
        <w:t xml:space="preserve">To obtain </w:t>
      </w:r>
      <w:r w:rsidR="00B52CA6">
        <w:rPr>
          <w:rFonts w:ascii="Segoe UI" w:hAnsi="Segoe UI" w:cs="Segoe UI"/>
          <w:i/>
          <w:sz w:val="20"/>
          <w:szCs w:val="20"/>
        </w:rPr>
        <w:t>2</w:t>
      </w:r>
      <w:r w:rsidRPr="00F908A9">
        <w:rPr>
          <w:rFonts w:ascii="Segoe UI" w:hAnsi="Segoe UI" w:cs="Segoe UI"/>
          <w:i/>
          <w:sz w:val="20"/>
          <w:szCs w:val="20"/>
        </w:rPr>
        <w:t>.0 contact hours of continuing pharmacy education credit (0.</w:t>
      </w:r>
      <w:r w:rsidR="00B52CA6">
        <w:rPr>
          <w:rFonts w:ascii="Segoe UI" w:hAnsi="Segoe UI" w:cs="Segoe UI"/>
          <w:i/>
          <w:sz w:val="20"/>
          <w:szCs w:val="20"/>
        </w:rPr>
        <w:t>2</w:t>
      </w:r>
      <w:r w:rsidRPr="00F908A9">
        <w:rPr>
          <w:rFonts w:ascii="Segoe UI" w:hAnsi="Segoe UI" w:cs="Segoe UI"/>
          <w:i/>
          <w:sz w:val="20"/>
          <w:szCs w:val="20"/>
        </w:rPr>
        <w:t xml:space="preserve"> CEU), participants must participate in the </w:t>
      </w:r>
      <w:r w:rsidR="002E3995">
        <w:rPr>
          <w:rFonts w:ascii="Segoe UI" w:hAnsi="Segoe UI" w:cs="Segoe UI"/>
          <w:i/>
          <w:sz w:val="20"/>
          <w:szCs w:val="20"/>
        </w:rPr>
        <w:t>on-demand</w:t>
      </w:r>
      <w:r w:rsidRPr="00F908A9"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course</w:t>
      </w:r>
      <w:r w:rsidRPr="00F908A9">
        <w:rPr>
          <w:rFonts w:ascii="Segoe UI" w:hAnsi="Segoe UI" w:cs="Segoe UI"/>
          <w:i/>
          <w:sz w:val="20"/>
          <w:szCs w:val="20"/>
        </w:rPr>
        <w:t xml:space="preserve">, </w:t>
      </w:r>
      <w:r w:rsidR="002E3995">
        <w:rPr>
          <w:rFonts w:ascii="Segoe UI" w:hAnsi="Segoe UI" w:cs="Segoe UI"/>
          <w:i/>
          <w:sz w:val="20"/>
          <w:szCs w:val="20"/>
        </w:rPr>
        <w:t>and</w:t>
      </w:r>
      <w:r w:rsidRPr="00F908A9">
        <w:rPr>
          <w:rFonts w:ascii="Segoe UI" w:hAnsi="Segoe UI" w:cs="Segoe UI"/>
          <w:i/>
          <w:sz w:val="20"/>
          <w:szCs w:val="20"/>
        </w:rPr>
        <w:t xml:space="preserve"> complete the </w:t>
      </w:r>
      <w:r w:rsidR="002E3995">
        <w:rPr>
          <w:rFonts w:ascii="Segoe UI" w:hAnsi="Segoe UI" w:cs="Segoe UI"/>
          <w:i/>
          <w:sz w:val="20"/>
          <w:szCs w:val="20"/>
        </w:rPr>
        <w:t xml:space="preserve">exam and </w:t>
      </w:r>
      <w:r w:rsidRPr="00F908A9">
        <w:rPr>
          <w:rFonts w:ascii="Segoe UI" w:hAnsi="Segoe UI" w:cs="Segoe UI"/>
          <w:i/>
          <w:sz w:val="20"/>
          <w:szCs w:val="20"/>
        </w:rPr>
        <w:t>evaluatio</w:t>
      </w:r>
      <w:r>
        <w:rPr>
          <w:rFonts w:ascii="Segoe UI" w:hAnsi="Segoe UI" w:cs="Segoe UI"/>
          <w:i/>
          <w:sz w:val="20"/>
          <w:szCs w:val="20"/>
        </w:rPr>
        <w:t>n</w:t>
      </w:r>
      <w:r w:rsidRPr="00F908A9">
        <w:rPr>
          <w:rFonts w:ascii="Segoe UI" w:hAnsi="Segoe UI" w:cs="Segoe UI"/>
          <w:i/>
          <w:sz w:val="20"/>
          <w:szCs w:val="20"/>
        </w:rPr>
        <w:t xml:space="preserve">. Once successfully completed, click Submit. The CPE Statement of Credit can then be accessed on CPE Monitor, </w:t>
      </w:r>
      <w:hyperlink r:id="rId10" w:history="1">
        <w:r w:rsidRPr="00F908A9">
          <w:rPr>
            <w:rStyle w:val="Hyperlink"/>
            <w:rFonts w:ascii="Segoe UI" w:hAnsi="Segoe UI" w:cs="Segoe UI"/>
            <w:i/>
            <w:sz w:val="20"/>
            <w:szCs w:val="20"/>
          </w:rPr>
          <w:t>www.MyCPEMonitor.net</w:t>
        </w:r>
      </w:hyperlink>
      <w:r w:rsidRPr="00F908A9">
        <w:rPr>
          <w:rFonts w:ascii="Segoe UI" w:hAnsi="Segoe UI" w:cs="Segoe UI"/>
          <w:i/>
          <w:sz w:val="20"/>
          <w:szCs w:val="20"/>
        </w:rPr>
        <w:t>.</w:t>
      </w:r>
    </w:p>
    <w:p w14:paraId="369D894D" w14:textId="77777777" w:rsidR="00163A6A" w:rsidRPr="00F908A9" w:rsidRDefault="00163A6A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</w:p>
    <w:p w14:paraId="423C6CF5" w14:textId="7F4C33AB" w:rsidR="00E31F88" w:rsidRPr="00BF1021" w:rsidRDefault="002E3995" w:rsidP="00C938CE">
      <w:pPr>
        <w:pStyle w:val="NoSpacing"/>
        <w:ind w:left="720"/>
        <w:rPr>
          <w:rFonts w:ascii="Segoe UI" w:hAnsi="Segoe UI" w:cs="Segoe UI"/>
          <w:b/>
          <w:color w:val="33BA6B"/>
          <w:szCs w:val="20"/>
        </w:rPr>
      </w:pPr>
      <w:r>
        <w:rPr>
          <w:rFonts w:ascii="Segoe UI" w:hAnsi="Segoe UI" w:cs="Segoe UI"/>
          <w:b/>
          <w:color w:val="33BA6B"/>
          <w:szCs w:val="20"/>
        </w:rPr>
        <w:t>Course</w:t>
      </w:r>
      <w:r w:rsidR="00E31F88" w:rsidRPr="00BF1021">
        <w:rPr>
          <w:rFonts w:ascii="Segoe UI" w:hAnsi="Segoe UI" w:cs="Segoe UI"/>
          <w:b/>
          <w:color w:val="33BA6B"/>
          <w:szCs w:val="20"/>
        </w:rPr>
        <w:t xml:space="preserve"> Format</w:t>
      </w:r>
    </w:p>
    <w:p w14:paraId="2A649626" w14:textId="018D381F" w:rsidR="00F908A9" w:rsidRPr="00F908A9" w:rsidRDefault="00B52CA6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  <w:bookmarkStart w:id="1" w:name="OLE_LINK1"/>
      <w:bookmarkStart w:id="2" w:name="OLE_LINK2"/>
      <w:r>
        <w:rPr>
          <w:rFonts w:ascii="Segoe UI" w:hAnsi="Segoe UI" w:cs="Segoe UI"/>
          <w:sz w:val="20"/>
          <w:szCs w:val="20"/>
        </w:rPr>
        <w:t>O</w:t>
      </w:r>
      <w:r w:rsidR="002E3995">
        <w:rPr>
          <w:rFonts w:ascii="Segoe UI" w:hAnsi="Segoe UI" w:cs="Segoe UI"/>
          <w:sz w:val="20"/>
          <w:szCs w:val="20"/>
        </w:rPr>
        <w:t>n-demand</w:t>
      </w:r>
      <w:r w:rsidR="00AC2055">
        <w:rPr>
          <w:rFonts w:ascii="Segoe UI" w:hAnsi="Segoe UI" w:cs="Segoe UI"/>
          <w:sz w:val="20"/>
          <w:szCs w:val="20"/>
        </w:rPr>
        <w:t>.</w:t>
      </w:r>
    </w:p>
    <w:bookmarkEnd w:id="1"/>
    <w:bookmarkEnd w:id="2"/>
    <w:p w14:paraId="3E369801" w14:textId="77777777" w:rsidR="00E31F88" w:rsidRPr="00F908A9" w:rsidRDefault="00E31F88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</w:p>
    <w:p w14:paraId="4F724444" w14:textId="5B6DB24B" w:rsidR="00E31F88" w:rsidRPr="00D577B8" w:rsidRDefault="00F908A9" w:rsidP="00C938CE">
      <w:pPr>
        <w:pStyle w:val="NoSpacing"/>
        <w:ind w:left="720"/>
        <w:rPr>
          <w:rFonts w:ascii="Segoe UI" w:hAnsi="Segoe UI" w:cs="Segoe UI"/>
          <w:b/>
          <w:color w:val="33BA6B"/>
        </w:rPr>
      </w:pPr>
      <w:r w:rsidRPr="00D577B8">
        <w:rPr>
          <w:rFonts w:ascii="Segoe UI" w:hAnsi="Segoe UI" w:cs="Segoe UI"/>
          <w:b/>
          <w:color w:val="33BA6B"/>
        </w:rPr>
        <w:t>Financial Support</w:t>
      </w:r>
    </w:p>
    <w:p w14:paraId="6DB1BFBD" w14:textId="440F249A" w:rsidR="00E31F88" w:rsidRPr="00F908A9" w:rsidRDefault="00D92734" w:rsidP="00C938CE">
      <w:pPr>
        <w:pStyle w:val="NoSpacing"/>
        <w:ind w:left="720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None.</w:t>
      </w:r>
    </w:p>
    <w:p w14:paraId="5715AA19" w14:textId="77777777" w:rsidR="00E31F88" w:rsidRPr="00F908A9" w:rsidRDefault="00E31F88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</w:p>
    <w:p w14:paraId="3918F49A" w14:textId="6A27B7E2" w:rsidR="00361CCC" w:rsidRPr="00D577B8" w:rsidRDefault="00361CCC" w:rsidP="00C938CE">
      <w:pPr>
        <w:pStyle w:val="NoSpacing"/>
        <w:ind w:left="720"/>
        <w:rPr>
          <w:rFonts w:ascii="Segoe UI" w:hAnsi="Segoe UI" w:cs="Segoe UI"/>
          <w:b/>
          <w:color w:val="33BA6B"/>
        </w:rPr>
      </w:pPr>
      <w:r w:rsidRPr="00D577B8">
        <w:rPr>
          <w:rFonts w:ascii="Segoe UI" w:hAnsi="Segoe UI" w:cs="Segoe UI"/>
          <w:b/>
          <w:color w:val="33BA6B"/>
        </w:rPr>
        <w:t xml:space="preserve">Course Fee </w:t>
      </w:r>
    </w:p>
    <w:p w14:paraId="6E6A40AB" w14:textId="0DF95D1D" w:rsidR="00F908A9" w:rsidRDefault="005244D9" w:rsidP="00C938CE">
      <w:pPr>
        <w:pStyle w:val="NoSpacing"/>
        <w:ind w:left="720"/>
        <w:rPr>
          <w:rFonts w:ascii="Segoe UI" w:hAnsi="Segoe UI" w:cs="Segoe UI"/>
          <w:sz w:val="20"/>
          <w:szCs w:val="20"/>
        </w:rPr>
        <w:sectPr w:rsidR="00F908A9" w:rsidSect="00912336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57D0F">
        <w:rPr>
          <w:rFonts w:ascii="Segoe UI" w:hAnsi="Segoe UI" w:cs="Segoe UI"/>
          <w:sz w:val="20"/>
          <w:szCs w:val="20"/>
        </w:rPr>
        <w:t>This course is available for free</w:t>
      </w:r>
    </w:p>
    <w:p w14:paraId="2C39ACE0" w14:textId="1FB4994F" w:rsidR="00912336" w:rsidRPr="00F908A9" w:rsidRDefault="00912336" w:rsidP="00C938CE">
      <w:pPr>
        <w:pStyle w:val="NoSpacing"/>
        <w:pBdr>
          <w:bottom w:val="single" w:sz="6" w:space="1" w:color="auto"/>
        </w:pBdr>
        <w:ind w:left="720"/>
        <w:rPr>
          <w:rFonts w:ascii="Segoe UI" w:hAnsi="Segoe UI" w:cs="Segoe UI"/>
          <w:sz w:val="20"/>
          <w:szCs w:val="20"/>
        </w:rPr>
      </w:pPr>
    </w:p>
    <w:p w14:paraId="78A29407" w14:textId="77777777" w:rsidR="00912336" w:rsidRPr="00F908A9" w:rsidRDefault="00912336" w:rsidP="00C938CE">
      <w:pPr>
        <w:pStyle w:val="NoSpacing"/>
        <w:ind w:left="720"/>
        <w:rPr>
          <w:rFonts w:ascii="Segoe UI" w:hAnsi="Segoe UI" w:cs="Segoe UI"/>
          <w:sz w:val="20"/>
          <w:szCs w:val="20"/>
        </w:rPr>
      </w:pPr>
    </w:p>
    <w:p w14:paraId="75E2A6AD" w14:textId="77777777" w:rsidR="00912336" w:rsidRDefault="00912336" w:rsidP="00C938CE">
      <w:pPr>
        <w:suppressAutoHyphens/>
        <w:autoSpaceDE w:val="0"/>
        <w:autoSpaceDN w:val="0"/>
        <w:adjustRightInd w:val="0"/>
        <w:spacing w:after="0" w:line="288" w:lineRule="auto"/>
        <w:ind w:left="720"/>
        <w:jc w:val="both"/>
        <w:textAlignment w:val="center"/>
        <w:rPr>
          <w:noProof/>
          <w:sz w:val="44"/>
        </w:rPr>
        <w:sectPr w:rsidR="00912336" w:rsidSect="009123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A3CADD" w14:textId="2548D366" w:rsidR="0026762D" w:rsidRPr="009E2C8E" w:rsidRDefault="005066BD" w:rsidP="00C938CE">
      <w:pPr>
        <w:suppressAutoHyphens/>
        <w:autoSpaceDE w:val="0"/>
        <w:autoSpaceDN w:val="0"/>
        <w:adjustRightInd w:val="0"/>
        <w:spacing w:after="0" w:line="288" w:lineRule="auto"/>
        <w:ind w:left="720"/>
        <w:jc w:val="both"/>
        <w:textAlignment w:val="center"/>
        <w:rPr>
          <w:rFonts w:ascii="Arial" w:hAnsi="Arial" w:cs="Arial"/>
          <w:b/>
          <w:bCs/>
          <w:color w:val="83B541"/>
          <w:spacing w:val="-2"/>
        </w:rPr>
      </w:pPr>
      <w:r w:rsidRPr="005066BD">
        <w:rPr>
          <w:noProof/>
          <w:sz w:val="44"/>
        </w:rPr>
        <w:t xml:space="preserve"> </w:t>
      </w:r>
    </w:p>
    <w:sectPr w:rsidR="0026762D" w:rsidRPr="009E2C8E" w:rsidSect="00E0136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8FB8" w14:textId="77777777" w:rsidR="0091776A" w:rsidRDefault="0091776A" w:rsidP="005066BD">
      <w:pPr>
        <w:spacing w:after="0" w:line="240" w:lineRule="auto"/>
      </w:pPr>
      <w:r>
        <w:separator/>
      </w:r>
    </w:p>
  </w:endnote>
  <w:endnote w:type="continuationSeparator" w:id="0">
    <w:p w14:paraId="56447579" w14:textId="77777777" w:rsidR="0091776A" w:rsidRDefault="0091776A" w:rsidP="0050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F106" w14:textId="77777777" w:rsidR="0091776A" w:rsidRDefault="0091776A" w:rsidP="005066BD">
      <w:pPr>
        <w:spacing w:after="0" w:line="240" w:lineRule="auto"/>
      </w:pPr>
      <w:r>
        <w:separator/>
      </w:r>
    </w:p>
  </w:footnote>
  <w:footnote w:type="continuationSeparator" w:id="0">
    <w:p w14:paraId="6F95C381" w14:textId="77777777" w:rsidR="0091776A" w:rsidRDefault="0091776A" w:rsidP="0050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D2F4" w14:textId="77777777" w:rsidR="003B69B1" w:rsidRDefault="003B69B1" w:rsidP="00E01365">
    <w:pPr>
      <w:pStyle w:val="Header"/>
    </w:pPr>
  </w:p>
  <w:p w14:paraId="1A66B5D5" w14:textId="2DFE80B2" w:rsidR="003B69B1" w:rsidRDefault="00084859" w:rsidP="00E01365">
    <w:pPr>
      <w:pStyle w:val="Header"/>
      <w:jc w:val="center"/>
    </w:pPr>
    <w:r>
      <w:rPr>
        <w:noProof/>
      </w:rPr>
      <w:drawing>
        <wp:inline distT="0" distB="0" distL="0" distR="0" wp14:anchorId="00328C4C" wp14:editId="0D7A759B">
          <wp:extent cx="2231390" cy="10915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5A7907" w14:textId="77777777" w:rsidR="003B69B1" w:rsidRDefault="003B69B1" w:rsidP="00E01365">
    <w:pPr>
      <w:pStyle w:val="Header"/>
      <w:jc w:val="center"/>
    </w:pPr>
  </w:p>
  <w:p w14:paraId="36E1FAC7" w14:textId="77777777" w:rsidR="003B69B1" w:rsidRDefault="003B69B1" w:rsidP="00E0136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BD"/>
    <w:rsid w:val="00017BC5"/>
    <w:rsid w:val="00057DD5"/>
    <w:rsid w:val="00063E5A"/>
    <w:rsid w:val="00077B69"/>
    <w:rsid w:val="000829FF"/>
    <w:rsid w:val="00084859"/>
    <w:rsid w:val="000C034A"/>
    <w:rsid w:val="000D10FE"/>
    <w:rsid w:val="000F39A9"/>
    <w:rsid w:val="00111232"/>
    <w:rsid w:val="00122390"/>
    <w:rsid w:val="00163A6A"/>
    <w:rsid w:val="001843CE"/>
    <w:rsid w:val="00192D53"/>
    <w:rsid w:val="001934F4"/>
    <w:rsid w:val="001D06A9"/>
    <w:rsid w:val="001E638C"/>
    <w:rsid w:val="001E7F6C"/>
    <w:rsid w:val="00200E01"/>
    <w:rsid w:val="002025D2"/>
    <w:rsid w:val="002109C4"/>
    <w:rsid w:val="00214201"/>
    <w:rsid w:val="00214FAB"/>
    <w:rsid w:val="00231262"/>
    <w:rsid w:val="00232346"/>
    <w:rsid w:val="00243532"/>
    <w:rsid w:val="0025048A"/>
    <w:rsid w:val="00266031"/>
    <w:rsid w:val="0026762D"/>
    <w:rsid w:val="0027639F"/>
    <w:rsid w:val="00291DBE"/>
    <w:rsid w:val="002950DF"/>
    <w:rsid w:val="002A0563"/>
    <w:rsid w:val="002A537D"/>
    <w:rsid w:val="002A5CCA"/>
    <w:rsid w:val="002A72DA"/>
    <w:rsid w:val="002B2CF9"/>
    <w:rsid w:val="002C447F"/>
    <w:rsid w:val="002D4D9F"/>
    <w:rsid w:val="002E26C6"/>
    <w:rsid w:val="002E3995"/>
    <w:rsid w:val="002F0269"/>
    <w:rsid w:val="003004B0"/>
    <w:rsid w:val="003341AA"/>
    <w:rsid w:val="0033745C"/>
    <w:rsid w:val="00342AA5"/>
    <w:rsid w:val="00350ECC"/>
    <w:rsid w:val="00361CCC"/>
    <w:rsid w:val="003B4E20"/>
    <w:rsid w:val="003B69B1"/>
    <w:rsid w:val="003C40DF"/>
    <w:rsid w:val="0041493E"/>
    <w:rsid w:val="0045201B"/>
    <w:rsid w:val="00477827"/>
    <w:rsid w:val="0049562D"/>
    <w:rsid w:val="0049748C"/>
    <w:rsid w:val="004A777A"/>
    <w:rsid w:val="004B3A89"/>
    <w:rsid w:val="00502435"/>
    <w:rsid w:val="00504555"/>
    <w:rsid w:val="005066BD"/>
    <w:rsid w:val="00513583"/>
    <w:rsid w:val="005244D9"/>
    <w:rsid w:val="00564649"/>
    <w:rsid w:val="005752A1"/>
    <w:rsid w:val="0058764D"/>
    <w:rsid w:val="005C0172"/>
    <w:rsid w:val="005D1EB4"/>
    <w:rsid w:val="005E11B8"/>
    <w:rsid w:val="005F097F"/>
    <w:rsid w:val="00652048"/>
    <w:rsid w:val="006848DC"/>
    <w:rsid w:val="006905F5"/>
    <w:rsid w:val="0069171C"/>
    <w:rsid w:val="00694756"/>
    <w:rsid w:val="00694B5F"/>
    <w:rsid w:val="006C3B1B"/>
    <w:rsid w:val="006E4659"/>
    <w:rsid w:val="00706F97"/>
    <w:rsid w:val="0075162D"/>
    <w:rsid w:val="00757D0F"/>
    <w:rsid w:val="00776552"/>
    <w:rsid w:val="00781536"/>
    <w:rsid w:val="007A3980"/>
    <w:rsid w:val="007D0437"/>
    <w:rsid w:val="007E3F0F"/>
    <w:rsid w:val="007E4CCB"/>
    <w:rsid w:val="007F3E67"/>
    <w:rsid w:val="007F7870"/>
    <w:rsid w:val="00850ADC"/>
    <w:rsid w:val="008602BB"/>
    <w:rsid w:val="0088592D"/>
    <w:rsid w:val="008870A7"/>
    <w:rsid w:val="008D6476"/>
    <w:rsid w:val="008D7B57"/>
    <w:rsid w:val="00904D25"/>
    <w:rsid w:val="00912336"/>
    <w:rsid w:val="0091776A"/>
    <w:rsid w:val="00921DA0"/>
    <w:rsid w:val="009469E0"/>
    <w:rsid w:val="009829DA"/>
    <w:rsid w:val="00995237"/>
    <w:rsid w:val="009A14A5"/>
    <w:rsid w:val="009B54DE"/>
    <w:rsid w:val="009C0D4C"/>
    <w:rsid w:val="009C5FE1"/>
    <w:rsid w:val="009D2C8D"/>
    <w:rsid w:val="009E2C8E"/>
    <w:rsid w:val="009F29FD"/>
    <w:rsid w:val="009F3FE5"/>
    <w:rsid w:val="009F64CB"/>
    <w:rsid w:val="00A34577"/>
    <w:rsid w:val="00A472EC"/>
    <w:rsid w:val="00A8353B"/>
    <w:rsid w:val="00A905A5"/>
    <w:rsid w:val="00A90AB1"/>
    <w:rsid w:val="00AA6ADC"/>
    <w:rsid w:val="00AB38CB"/>
    <w:rsid w:val="00AC2055"/>
    <w:rsid w:val="00AD0C91"/>
    <w:rsid w:val="00AF7331"/>
    <w:rsid w:val="00B2455C"/>
    <w:rsid w:val="00B52CA6"/>
    <w:rsid w:val="00B67D74"/>
    <w:rsid w:val="00B950EB"/>
    <w:rsid w:val="00BC1011"/>
    <w:rsid w:val="00BC2732"/>
    <w:rsid w:val="00BC6648"/>
    <w:rsid w:val="00BD2A08"/>
    <w:rsid w:val="00BD5709"/>
    <w:rsid w:val="00BF1021"/>
    <w:rsid w:val="00C22CEA"/>
    <w:rsid w:val="00C300FC"/>
    <w:rsid w:val="00C47ED0"/>
    <w:rsid w:val="00C54FB0"/>
    <w:rsid w:val="00C56276"/>
    <w:rsid w:val="00C938CE"/>
    <w:rsid w:val="00CC54DE"/>
    <w:rsid w:val="00D577B8"/>
    <w:rsid w:val="00D92734"/>
    <w:rsid w:val="00DA4F0C"/>
    <w:rsid w:val="00DA5B80"/>
    <w:rsid w:val="00DE1F86"/>
    <w:rsid w:val="00DF7FD2"/>
    <w:rsid w:val="00E01365"/>
    <w:rsid w:val="00E31F88"/>
    <w:rsid w:val="00E5624E"/>
    <w:rsid w:val="00EB133A"/>
    <w:rsid w:val="00EB35B4"/>
    <w:rsid w:val="00EB518C"/>
    <w:rsid w:val="00EE1698"/>
    <w:rsid w:val="00EE1C6B"/>
    <w:rsid w:val="00F01366"/>
    <w:rsid w:val="00F0794F"/>
    <w:rsid w:val="00F102C9"/>
    <w:rsid w:val="00F1126E"/>
    <w:rsid w:val="00F25B12"/>
    <w:rsid w:val="00F75C4A"/>
    <w:rsid w:val="00F843D5"/>
    <w:rsid w:val="00F85F11"/>
    <w:rsid w:val="00F908A9"/>
    <w:rsid w:val="00F91508"/>
    <w:rsid w:val="00F927CD"/>
    <w:rsid w:val="00F958E7"/>
    <w:rsid w:val="00FA19D7"/>
    <w:rsid w:val="00FB2299"/>
    <w:rsid w:val="00FB3DFE"/>
    <w:rsid w:val="00FD589F"/>
    <w:rsid w:val="00FE65E7"/>
    <w:rsid w:val="4667F101"/>
    <w:rsid w:val="67D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5E9A2"/>
  <w15:chartTrackingRefBased/>
  <w15:docId w15:val="{4776E28E-1BF9-4DE4-B2CB-7386E673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B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38C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B38CB"/>
    <w:rPr>
      <w:b/>
      <w:bCs/>
      <w:color w:val="000000"/>
      <w:w w:val="100"/>
    </w:rPr>
  </w:style>
  <w:style w:type="paragraph" w:styleId="NoSpacing">
    <w:name w:val="No Spacing"/>
    <w:basedOn w:val="Normal"/>
    <w:uiPriority w:val="1"/>
    <w:qFormat/>
    <w:rsid w:val="00AB38C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0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BD"/>
  </w:style>
  <w:style w:type="paragraph" w:styleId="Footer">
    <w:name w:val="footer"/>
    <w:basedOn w:val="Normal"/>
    <w:link w:val="FooterChar"/>
    <w:uiPriority w:val="99"/>
    <w:unhideWhenUsed/>
    <w:rsid w:val="0050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BD"/>
  </w:style>
  <w:style w:type="paragraph" w:customStyle="1" w:styleId="BasicParagraph">
    <w:name w:val="[Basic Paragraph]"/>
    <w:basedOn w:val="Normal"/>
    <w:uiPriority w:val="99"/>
    <w:rsid w:val="005066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066BD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E31F8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E31F8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31F8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yCPEMonitor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9A1663116B24E8E88410C5D8C1E6D" ma:contentTypeVersion="13" ma:contentTypeDescription="Create a new document." ma:contentTypeScope="" ma:versionID="0f1b72d19f158c5939a99a58fef78406">
  <xsd:schema xmlns:xsd="http://www.w3.org/2001/XMLSchema" xmlns:xs="http://www.w3.org/2001/XMLSchema" xmlns:p="http://schemas.microsoft.com/office/2006/metadata/properties" xmlns:ns2="0b58e0c3-1e25-484f-b232-2aa88935fa31" xmlns:ns3="3617ff2c-6aea-42e2-bae0-e2a2cce23ea2" targetNamespace="http://schemas.microsoft.com/office/2006/metadata/properties" ma:root="true" ma:fieldsID="9bda697558048c067076014e4ca44035" ns2:_="" ns3:_="">
    <xsd:import namespace="0b58e0c3-1e25-484f-b232-2aa88935fa31"/>
    <xsd:import namespace="3617ff2c-6aea-42e2-bae0-e2a2cce23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8e0c3-1e25-484f-b232-2aa88935fa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7ff2c-6aea-42e2-bae0-e2a2cce23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8C2B3-5932-4020-AFD9-4A86D479C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5977A-34DB-4315-9844-044F869EC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2B385-8741-47A1-AFFC-BE778FCC1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8e0c3-1e25-484f-b232-2aa88935fa31"/>
    <ds:schemaRef ds:uri="3617ff2c-6aea-42e2-bae0-e2a2cce23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Lynndi Koester</dc:creator>
  <cp:keywords/>
  <dc:description/>
  <cp:lastModifiedBy>Seton McCabe-Pannkuk</cp:lastModifiedBy>
  <cp:revision>55</cp:revision>
  <cp:lastPrinted>2021-11-19T20:47:00Z</cp:lastPrinted>
  <dcterms:created xsi:type="dcterms:W3CDTF">2021-09-27T20:47:00Z</dcterms:created>
  <dcterms:modified xsi:type="dcterms:W3CDTF">2021-11-19T22:23:00Z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0x0101002969A1663116B24E8E88410C5D8C1E6D</vt:lpwstr>
  </property>
</Properties>
</file>