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DAE7" w14:textId="7FB6B04F" w:rsidR="00C22CEA" w:rsidRPr="00266031" w:rsidRDefault="002D4D9F" w:rsidP="002D4D9F">
      <w:pPr>
        <w:pStyle w:val="NoSpacing"/>
        <w:rPr>
          <w:rFonts w:ascii="Segoe UI" w:hAnsi="Segoe UI" w:cs="Segoe UI"/>
          <w:b/>
          <w:sz w:val="20"/>
          <w:szCs w:val="8"/>
        </w:rPr>
      </w:pPr>
      <w:r w:rsidRPr="002D4D9F">
        <w:rPr>
          <w:rFonts w:ascii="Segoe UI" w:hAnsi="Segoe UI" w:cs="Segoe UI"/>
          <w:b/>
          <w:sz w:val="32"/>
          <w:szCs w:val="16"/>
        </w:rPr>
        <w:t>Cannabis Considerations in Pediatrics</w:t>
      </w:r>
      <w:r>
        <w:rPr>
          <w:rFonts w:ascii="Segoe UI" w:hAnsi="Segoe UI" w:cs="Segoe UI"/>
          <w:b/>
          <w:sz w:val="32"/>
          <w:szCs w:val="16"/>
        </w:rPr>
        <w:br/>
      </w:r>
    </w:p>
    <w:p w14:paraId="1D497641" w14:textId="77777777" w:rsidR="00E31F88" w:rsidRPr="00BF1021" w:rsidRDefault="00E31F88" w:rsidP="00E31F88">
      <w:pPr>
        <w:pStyle w:val="NoSpacing"/>
        <w:rPr>
          <w:rFonts w:ascii="Segoe UI" w:hAnsi="Segoe UI" w:cs="Segoe UI"/>
          <w:b/>
          <w:color w:val="33BA6B"/>
          <w:szCs w:val="20"/>
        </w:rPr>
      </w:pPr>
      <w:r w:rsidRPr="00BF1021">
        <w:rPr>
          <w:rFonts w:ascii="Segoe UI" w:hAnsi="Segoe UI" w:cs="Segoe UI"/>
          <w:b/>
          <w:color w:val="33BA6B"/>
          <w:szCs w:val="20"/>
        </w:rPr>
        <w:t>Learning Objectives:</w:t>
      </w:r>
    </w:p>
    <w:p w14:paraId="264A56E2" w14:textId="27FD29E1" w:rsidR="00E31F88" w:rsidRDefault="00E31F88" w:rsidP="00E31F88">
      <w:pPr>
        <w:pStyle w:val="NoSpacing"/>
        <w:rPr>
          <w:rFonts w:ascii="Segoe UI" w:hAnsi="Segoe UI" w:cs="Segoe UI"/>
          <w:i/>
          <w:sz w:val="20"/>
          <w:szCs w:val="20"/>
        </w:rPr>
      </w:pPr>
      <w:r w:rsidRPr="00F908A9">
        <w:rPr>
          <w:rFonts w:ascii="Segoe UI" w:hAnsi="Segoe UI" w:cs="Segoe UI"/>
          <w:i/>
          <w:sz w:val="20"/>
          <w:szCs w:val="20"/>
        </w:rPr>
        <w:t>Upon successful completion</w:t>
      </w:r>
      <w:r w:rsidR="007A3980">
        <w:rPr>
          <w:rFonts w:ascii="Segoe UI" w:hAnsi="Segoe UI" w:cs="Segoe UI"/>
          <w:i/>
          <w:sz w:val="20"/>
          <w:szCs w:val="20"/>
        </w:rPr>
        <w:t xml:space="preserve"> of this knowledge-based course</w:t>
      </w:r>
      <w:r w:rsidRPr="00F908A9">
        <w:rPr>
          <w:rFonts w:ascii="Segoe UI" w:hAnsi="Segoe UI" w:cs="Segoe UI"/>
          <w:i/>
          <w:sz w:val="20"/>
          <w:szCs w:val="20"/>
        </w:rPr>
        <w:t xml:space="preserve"> pharmacists should be able to:</w:t>
      </w:r>
    </w:p>
    <w:p w14:paraId="1F47EAF4" w14:textId="77777777" w:rsidR="002D4D9F" w:rsidRPr="002D4D9F" w:rsidRDefault="002D4D9F" w:rsidP="002D4D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D4D9F">
        <w:rPr>
          <w:rFonts w:ascii="Segoe UI" w:hAnsi="Segoe UI" w:cs="Segoe UI"/>
          <w:color w:val="000000"/>
          <w:sz w:val="20"/>
          <w:szCs w:val="20"/>
        </w:rPr>
        <w:t>1. Describe the possible indications for cannabis use in pediatric patients.</w:t>
      </w:r>
    </w:p>
    <w:p w14:paraId="250D606B" w14:textId="77777777" w:rsidR="002D4D9F" w:rsidRPr="002D4D9F" w:rsidRDefault="002D4D9F" w:rsidP="002D4D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D4D9F">
        <w:rPr>
          <w:rFonts w:ascii="Segoe UI" w:hAnsi="Segoe UI" w:cs="Segoe UI"/>
          <w:color w:val="000000"/>
          <w:sz w:val="20"/>
          <w:szCs w:val="20"/>
        </w:rPr>
        <w:t>2. Compare the risks and benefits of major cannabinoids THC and CBD in pediatric populations.</w:t>
      </w:r>
    </w:p>
    <w:p w14:paraId="2167B497" w14:textId="2A20B777" w:rsidR="00F1126E" w:rsidRDefault="002D4D9F" w:rsidP="002D4D9F">
      <w:pPr>
        <w:pStyle w:val="NoSpacing"/>
        <w:rPr>
          <w:rFonts w:ascii="Segoe UI" w:hAnsi="Segoe UI" w:cs="Segoe UI"/>
          <w:sz w:val="20"/>
          <w:szCs w:val="20"/>
        </w:rPr>
      </w:pPr>
      <w:r w:rsidRPr="002D4D9F">
        <w:rPr>
          <w:rFonts w:ascii="Segoe UI" w:hAnsi="Segoe UI" w:cs="Segoe UI"/>
          <w:sz w:val="20"/>
          <w:szCs w:val="20"/>
        </w:rPr>
        <w:t>3. Analyze legal challenges to cannabis administration in pediatric populations.</w:t>
      </w:r>
    </w:p>
    <w:p w14:paraId="442B27D2" w14:textId="77777777" w:rsidR="002D4D9F" w:rsidRPr="00477827" w:rsidRDefault="002D4D9F" w:rsidP="002D4D9F">
      <w:pPr>
        <w:pStyle w:val="NoSpacing"/>
        <w:rPr>
          <w:rFonts w:ascii="Segoe UI" w:hAnsi="Segoe UI" w:cs="Segoe UI"/>
          <w:sz w:val="20"/>
          <w:szCs w:val="20"/>
        </w:rPr>
      </w:pPr>
    </w:p>
    <w:p w14:paraId="66E4AC59" w14:textId="77777777" w:rsidR="00E31F88" w:rsidRPr="00BF1021" w:rsidRDefault="00E31F88" w:rsidP="00E31F88">
      <w:pPr>
        <w:pStyle w:val="NoSpacing"/>
        <w:rPr>
          <w:rFonts w:ascii="Segoe UI" w:hAnsi="Segoe UI" w:cs="Segoe UI"/>
          <w:b/>
          <w:color w:val="33BA6B"/>
          <w:szCs w:val="20"/>
        </w:rPr>
      </w:pPr>
      <w:r w:rsidRPr="00BF1021">
        <w:rPr>
          <w:rFonts w:ascii="Segoe UI" w:hAnsi="Segoe UI" w:cs="Segoe UI"/>
          <w:b/>
          <w:color w:val="33BA6B"/>
          <w:szCs w:val="20"/>
        </w:rPr>
        <w:t>Faculty:</w:t>
      </w:r>
      <w:r w:rsidRPr="00BF1021">
        <w:rPr>
          <w:rFonts w:ascii="Segoe UI" w:hAnsi="Segoe UI" w:cs="Segoe UI"/>
          <w:b/>
          <w:color w:val="33BA6B"/>
          <w:szCs w:val="20"/>
        </w:rPr>
        <w:tab/>
      </w:r>
    </w:p>
    <w:p w14:paraId="513518DC" w14:textId="0AEBBB9F" w:rsidR="0049748C" w:rsidRDefault="0049748C" w:rsidP="008D6476">
      <w:pPr>
        <w:pStyle w:val="NoSpacing"/>
        <w:rPr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>James Cobb Scott, PhD</w:t>
      </w:r>
    </w:p>
    <w:p w14:paraId="35A21990" w14:textId="6B8EAE4C" w:rsidR="0049748C" w:rsidRPr="00BC2732" w:rsidRDefault="00BC2732" w:rsidP="008D6476">
      <w:pPr>
        <w:pStyle w:val="NoSpacing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 w:rsidRPr="00BC273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Assistant Professor</w:t>
      </w:r>
    </w:p>
    <w:p w14:paraId="5BC19C82" w14:textId="02030381" w:rsidR="00BC2732" w:rsidRPr="00BC2732" w:rsidRDefault="00BC2732" w:rsidP="008D6476">
      <w:pPr>
        <w:pStyle w:val="NoSpacing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 w:rsidRPr="00BC273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University of Pennsylvania</w:t>
      </w:r>
    </w:p>
    <w:p w14:paraId="28506C14" w14:textId="77777777" w:rsidR="0049748C" w:rsidRDefault="0049748C" w:rsidP="008D6476">
      <w:pPr>
        <w:pStyle w:val="NoSpacing"/>
        <w:rPr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</w:pPr>
    </w:p>
    <w:p w14:paraId="7AA46272" w14:textId="7D079E4A" w:rsidR="008D6476" w:rsidRDefault="009469E0" w:rsidP="008D6476">
      <w:pPr>
        <w:pStyle w:val="NoSpacing"/>
        <w:rPr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>Melani Kane</w:t>
      </w:r>
      <w:r w:rsidR="008602BB">
        <w:rPr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>, PharmD</w:t>
      </w:r>
    </w:p>
    <w:p w14:paraId="685E8FAA" w14:textId="3EF020CB" w:rsidR="00F1126E" w:rsidRPr="009469E0" w:rsidRDefault="009469E0" w:rsidP="008D6476">
      <w:pPr>
        <w:pStyle w:val="NoSpacing"/>
        <w:rPr>
          <w:rFonts w:ascii="Segoe UI" w:hAnsi="Segoe UI" w:cs="Segoe UI"/>
          <w:sz w:val="20"/>
          <w:szCs w:val="20"/>
        </w:rPr>
      </w:pPr>
      <w:r w:rsidRPr="009469E0">
        <w:rPr>
          <w:rFonts w:ascii="Segoe UI" w:hAnsi="Segoe UI" w:cs="Segoe UI"/>
          <w:color w:val="2B3245"/>
          <w:sz w:val="20"/>
          <w:szCs w:val="20"/>
        </w:rPr>
        <w:t>Cannabis Pharmacist</w:t>
      </w:r>
    </w:p>
    <w:p w14:paraId="1D26D926" w14:textId="4D3C10D6" w:rsidR="009469E0" w:rsidRDefault="009469E0" w:rsidP="008D6476">
      <w:pPr>
        <w:pStyle w:val="NoSpacing"/>
        <w:rPr>
          <w:rFonts w:ascii="Segoe UI" w:hAnsi="Segoe UI" w:cs="Segoe UI"/>
          <w:color w:val="2B3245"/>
          <w:sz w:val="20"/>
          <w:szCs w:val="20"/>
        </w:rPr>
      </w:pPr>
      <w:r w:rsidRPr="009469E0">
        <w:rPr>
          <w:rFonts w:ascii="Segoe UI" w:hAnsi="Segoe UI" w:cs="Segoe UI"/>
          <w:color w:val="2B3245"/>
          <w:sz w:val="20"/>
          <w:szCs w:val="20"/>
        </w:rPr>
        <w:t>ISCPh</w:t>
      </w:r>
    </w:p>
    <w:p w14:paraId="145EB97C" w14:textId="10FE986D" w:rsidR="009469E0" w:rsidRDefault="009469E0" w:rsidP="008D6476">
      <w:pPr>
        <w:pStyle w:val="NoSpacing"/>
        <w:rPr>
          <w:rFonts w:ascii="Segoe UI" w:hAnsi="Segoe UI" w:cs="Segoe UI"/>
          <w:color w:val="2B3245"/>
          <w:sz w:val="20"/>
          <w:szCs w:val="20"/>
        </w:rPr>
      </w:pPr>
    </w:p>
    <w:p w14:paraId="7A0987D4" w14:textId="77777777" w:rsidR="009469E0" w:rsidRPr="00C15809" w:rsidRDefault="009469E0" w:rsidP="009469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</w:rPr>
      </w:pPr>
      <w:r w:rsidRPr="00C15809">
        <w:rPr>
          <w:rFonts w:ascii="Segoe UI" w:hAnsi="Segoe UI" w:cs="Segoe UI"/>
          <w:b/>
          <w:sz w:val="20"/>
        </w:rPr>
        <w:t>Christine Roussel PharmD, BCOP</w:t>
      </w:r>
    </w:p>
    <w:p w14:paraId="5AACD802" w14:textId="77777777" w:rsidR="009469E0" w:rsidRPr="00C15809" w:rsidRDefault="009469E0" w:rsidP="009469E0">
      <w:pPr>
        <w:pStyle w:val="NoSpacing"/>
        <w:rPr>
          <w:rFonts w:ascii="Segoe UI" w:hAnsi="Segoe UI" w:cs="Segoe UI"/>
          <w:color w:val="auto"/>
          <w:sz w:val="20"/>
        </w:rPr>
      </w:pPr>
      <w:r w:rsidRPr="00C15809">
        <w:rPr>
          <w:rFonts w:ascii="Segoe UI" w:hAnsi="Segoe UI" w:cs="Segoe UI"/>
          <w:color w:val="auto"/>
          <w:sz w:val="20"/>
        </w:rPr>
        <w:t>Director of Pharmacy</w:t>
      </w:r>
    </w:p>
    <w:p w14:paraId="33E7B8A4" w14:textId="77777777" w:rsidR="009469E0" w:rsidRPr="00C15809" w:rsidRDefault="009469E0" w:rsidP="009469E0">
      <w:pPr>
        <w:pStyle w:val="NoSpacing"/>
        <w:rPr>
          <w:rFonts w:ascii="Segoe UI" w:hAnsi="Segoe UI" w:cs="Segoe UI"/>
          <w:color w:val="auto"/>
          <w:sz w:val="20"/>
        </w:rPr>
      </w:pPr>
      <w:r w:rsidRPr="00C15809">
        <w:rPr>
          <w:rFonts w:ascii="Segoe UI" w:hAnsi="Segoe UI" w:cs="Segoe UI"/>
          <w:color w:val="auto"/>
          <w:sz w:val="20"/>
        </w:rPr>
        <w:t>Doylestown Hospital</w:t>
      </w:r>
    </w:p>
    <w:p w14:paraId="21EF0A76" w14:textId="77777777" w:rsidR="009469E0" w:rsidRPr="008D6476" w:rsidRDefault="009469E0" w:rsidP="008D6476">
      <w:pPr>
        <w:pStyle w:val="NoSpacing"/>
        <w:rPr>
          <w:rFonts w:ascii="Segoe UI" w:hAnsi="Segoe UI" w:cs="Segoe UI"/>
          <w:sz w:val="20"/>
          <w:szCs w:val="20"/>
        </w:rPr>
      </w:pPr>
    </w:p>
    <w:p w14:paraId="676288D5" w14:textId="6CE3D89A" w:rsidR="00E31F88" w:rsidRPr="00BF1021" w:rsidRDefault="00E31F88" w:rsidP="00E01365">
      <w:pPr>
        <w:pStyle w:val="NoSpacing"/>
        <w:tabs>
          <w:tab w:val="left" w:pos="2955"/>
        </w:tabs>
        <w:rPr>
          <w:rFonts w:ascii="Segoe UI" w:hAnsi="Segoe UI" w:cs="Segoe UI"/>
          <w:b/>
          <w:color w:val="33BA6B"/>
          <w:sz w:val="20"/>
          <w:szCs w:val="20"/>
        </w:rPr>
      </w:pPr>
      <w:r w:rsidRPr="00BF1021">
        <w:rPr>
          <w:rFonts w:ascii="Segoe UI" w:hAnsi="Segoe UI" w:cs="Segoe UI"/>
          <w:b/>
          <w:color w:val="33BA6B"/>
          <w:szCs w:val="20"/>
        </w:rPr>
        <w:t>Faculty Disclosure:</w:t>
      </w:r>
      <w:r w:rsidR="00E01365" w:rsidRPr="00BF1021">
        <w:rPr>
          <w:rFonts w:ascii="Segoe UI" w:hAnsi="Segoe UI" w:cs="Segoe UI"/>
          <w:b/>
          <w:color w:val="33BA6B"/>
          <w:sz w:val="20"/>
          <w:szCs w:val="20"/>
        </w:rPr>
        <w:tab/>
      </w:r>
    </w:p>
    <w:p w14:paraId="75BFBBC7" w14:textId="750E6374" w:rsidR="008602BB" w:rsidRPr="00266031" w:rsidRDefault="009469E0" w:rsidP="008602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B3245"/>
          <w:sz w:val="20"/>
          <w:szCs w:val="20"/>
        </w:rPr>
      </w:pPr>
      <w:r w:rsidRPr="00266031">
        <w:rPr>
          <w:rFonts w:ascii="Segoe UI" w:hAnsi="Segoe UI" w:cs="Segoe UI"/>
          <w:sz w:val="20"/>
          <w:szCs w:val="20"/>
        </w:rPr>
        <w:t>Dr. Kane</w:t>
      </w:r>
      <w:r w:rsidR="00E31F88" w:rsidRPr="00266031">
        <w:rPr>
          <w:rFonts w:ascii="Segoe UI" w:hAnsi="Segoe UI" w:cs="Segoe UI"/>
          <w:sz w:val="20"/>
          <w:szCs w:val="20"/>
        </w:rPr>
        <w:t xml:space="preserve"> </w:t>
      </w:r>
      <w:r w:rsidR="008602BB" w:rsidRPr="00266031">
        <w:rPr>
          <w:rFonts w:ascii="Segoe UI" w:hAnsi="Segoe UI" w:cs="Segoe UI"/>
          <w:sz w:val="20"/>
          <w:szCs w:val="20"/>
        </w:rPr>
        <w:t xml:space="preserve">reports that she is </w:t>
      </w:r>
      <w:r w:rsidR="00266031" w:rsidRPr="00266031">
        <w:rPr>
          <w:rFonts w:ascii="Segoe UI" w:hAnsi="Segoe UI" w:cs="Segoe UI"/>
          <w:sz w:val="20"/>
          <w:szCs w:val="20"/>
        </w:rPr>
        <w:t xml:space="preserve">a </w:t>
      </w:r>
      <w:r w:rsidR="008602BB" w:rsidRPr="00266031">
        <w:rPr>
          <w:rFonts w:ascii="Segoe UI" w:hAnsi="Segoe UI" w:cs="Segoe UI"/>
          <w:color w:val="2B3245"/>
          <w:sz w:val="20"/>
          <w:szCs w:val="20"/>
        </w:rPr>
        <w:t xml:space="preserve">consultant to </w:t>
      </w:r>
      <w:r w:rsidR="00266031" w:rsidRPr="00266031">
        <w:rPr>
          <w:rFonts w:ascii="Segoe UI" w:hAnsi="Segoe UI" w:cs="Segoe UI"/>
          <w:color w:val="2B3245"/>
          <w:sz w:val="20"/>
          <w:szCs w:val="20"/>
        </w:rPr>
        <w:t>I</w:t>
      </w:r>
      <w:r w:rsidR="008602BB" w:rsidRPr="00266031">
        <w:rPr>
          <w:rFonts w:ascii="Segoe UI" w:hAnsi="Segoe UI" w:cs="Segoe UI"/>
          <w:color w:val="2B3245"/>
          <w:sz w:val="20"/>
          <w:szCs w:val="20"/>
        </w:rPr>
        <w:t xml:space="preserve">owa </w:t>
      </w:r>
      <w:r w:rsidR="006C3B1B">
        <w:rPr>
          <w:rFonts w:ascii="Segoe UI" w:hAnsi="Segoe UI" w:cs="Segoe UI"/>
          <w:color w:val="2B3245"/>
          <w:sz w:val="20"/>
          <w:szCs w:val="20"/>
        </w:rPr>
        <w:t>C</w:t>
      </w:r>
      <w:r w:rsidR="008602BB" w:rsidRPr="00266031">
        <w:rPr>
          <w:rFonts w:ascii="Segoe UI" w:hAnsi="Segoe UI" w:cs="Segoe UI"/>
          <w:color w:val="2B3245"/>
          <w:sz w:val="20"/>
          <w:szCs w:val="20"/>
        </w:rPr>
        <w:t xml:space="preserve">annabis </w:t>
      </w:r>
      <w:r w:rsidR="006C3B1B">
        <w:rPr>
          <w:rFonts w:ascii="Segoe UI" w:hAnsi="Segoe UI" w:cs="Segoe UI"/>
          <w:color w:val="2B3245"/>
          <w:sz w:val="20"/>
          <w:szCs w:val="20"/>
        </w:rPr>
        <w:t>C</w:t>
      </w:r>
      <w:bookmarkStart w:id="0" w:name="_GoBack"/>
      <w:bookmarkEnd w:id="0"/>
      <w:r w:rsidR="008602BB" w:rsidRPr="00266031">
        <w:rPr>
          <w:rFonts w:ascii="Segoe UI" w:hAnsi="Segoe UI" w:cs="Segoe UI"/>
          <w:color w:val="2B3245"/>
          <w:sz w:val="20"/>
          <w:szCs w:val="20"/>
        </w:rPr>
        <w:t xml:space="preserve">ompany, </w:t>
      </w:r>
      <w:r w:rsidR="00266031" w:rsidRPr="00266031">
        <w:rPr>
          <w:rFonts w:ascii="Segoe UI" w:hAnsi="Segoe UI" w:cs="Segoe UI"/>
          <w:color w:val="2B3245"/>
          <w:sz w:val="20"/>
          <w:szCs w:val="20"/>
        </w:rPr>
        <w:t>M</w:t>
      </w:r>
      <w:r w:rsidR="008602BB" w:rsidRPr="00266031">
        <w:rPr>
          <w:rFonts w:ascii="Segoe UI" w:hAnsi="Segoe UI" w:cs="Segoe UI"/>
          <w:color w:val="2B3245"/>
          <w:sz w:val="20"/>
          <w:szCs w:val="20"/>
        </w:rPr>
        <w:t xml:space="preserve">andala </w:t>
      </w:r>
      <w:r w:rsidR="00266031" w:rsidRPr="00266031">
        <w:rPr>
          <w:rFonts w:ascii="Segoe UI" w:hAnsi="Segoe UI" w:cs="Segoe UI"/>
          <w:color w:val="2B3245"/>
          <w:sz w:val="20"/>
          <w:szCs w:val="20"/>
        </w:rPr>
        <w:t>W</w:t>
      </w:r>
      <w:r w:rsidR="008602BB" w:rsidRPr="00266031">
        <w:rPr>
          <w:rFonts w:ascii="Segoe UI" w:hAnsi="Segoe UI" w:cs="Segoe UI"/>
          <w:color w:val="2B3245"/>
          <w:sz w:val="20"/>
          <w:szCs w:val="20"/>
        </w:rPr>
        <w:t xml:space="preserve">ellness, and </w:t>
      </w:r>
      <w:r w:rsidR="00266031" w:rsidRPr="00266031">
        <w:rPr>
          <w:rFonts w:ascii="Segoe UI" w:hAnsi="Segoe UI" w:cs="Segoe UI"/>
          <w:color w:val="2B3245"/>
          <w:sz w:val="20"/>
          <w:szCs w:val="20"/>
        </w:rPr>
        <w:t>S</w:t>
      </w:r>
      <w:r w:rsidR="008602BB" w:rsidRPr="00266031">
        <w:rPr>
          <w:rFonts w:ascii="Segoe UI" w:hAnsi="Segoe UI" w:cs="Segoe UI"/>
          <w:color w:val="2B3245"/>
          <w:sz w:val="20"/>
          <w:szCs w:val="20"/>
        </w:rPr>
        <w:t xml:space="preserve">train </w:t>
      </w:r>
      <w:r w:rsidR="00266031" w:rsidRPr="00266031">
        <w:rPr>
          <w:rFonts w:ascii="Segoe UI" w:hAnsi="Segoe UI" w:cs="Segoe UI"/>
          <w:color w:val="2B3245"/>
          <w:sz w:val="20"/>
          <w:szCs w:val="20"/>
        </w:rPr>
        <w:t>C</w:t>
      </w:r>
      <w:r w:rsidR="008602BB" w:rsidRPr="00266031">
        <w:rPr>
          <w:rFonts w:ascii="Segoe UI" w:hAnsi="Segoe UI" w:cs="Segoe UI"/>
          <w:color w:val="2B3245"/>
          <w:sz w:val="20"/>
          <w:szCs w:val="20"/>
        </w:rPr>
        <w:t>onnect</w:t>
      </w:r>
      <w:r w:rsidR="00266031" w:rsidRPr="00266031">
        <w:rPr>
          <w:rFonts w:ascii="Segoe UI" w:hAnsi="Segoe UI" w:cs="Segoe UI"/>
          <w:color w:val="2B3245"/>
          <w:sz w:val="20"/>
          <w:szCs w:val="20"/>
        </w:rPr>
        <w:t xml:space="preserve"> and a </w:t>
      </w:r>
    </w:p>
    <w:p w14:paraId="523A58F7" w14:textId="58B629AC" w:rsidR="008602BB" w:rsidRPr="00266031" w:rsidRDefault="008602BB" w:rsidP="008602BB">
      <w:pPr>
        <w:pStyle w:val="NoSpacing"/>
        <w:rPr>
          <w:rFonts w:ascii="Segoe UI" w:hAnsi="Segoe UI" w:cs="Segoe UI"/>
          <w:color w:val="2B3245"/>
          <w:sz w:val="20"/>
          <w:szCs w:val="20"/>
        </w:rPr>
      </w:pPr>
      <w:r w:rsidRPr="00266031">
        <w:rPr>
          <w:rFonts w:ascii="Segoe UI" w:hAnsi="Segoe UI" w:cs="Segoe UI"/>
          <w:color w:val="2B3245"/>
          <w:sz w:val="20"/>
          <w:szCs w:val="20"/>
        </w:rPr>
        <w:t xml:space="preserve">former pharmacist at Minnesota </w:t>
      </w:r>
      <w:r w:rsidR="00266031" w:rsidRPr="00266031">
        <w:rPr>
          <w:rFonts w:ascii="Segoe UI" w:hAnsi="Segoe UI" w:cs="Segoe UI"/>
          <w:color w:val="2B3245"/>
          <w:sz w:val="20"/>
          <w:szCs w:val="20"/>
        </w:rPr>
        <w:t>M</w:t>
      </w:r>
      <w:r w:rsidRPr="00266031">
        <w:rPr>
          <w:rFonts w:ascii="Segoe UI" w:hAnsi="Segoe UI" w:cs="Segoe UI"/>
          <w:color w:val="2B3245"/>
          <w:sz w:val="20"/>
          <w:szCs w:val="20"/>
        </w:rPr>
        <w:t xml:space="preserve">edical </w:t>
      </w:r>
      <w:r w:rsidR="00266031" w:rsidRPr="00266031">
        <w:rPr>
          <w:rFonts w:ascii="Segoe UI" w:hAnsi="Segoe UI" w:cs="Segoe UI"/>
          <w:color w:val="2B3245"/>
          <w:sz w:val="20"/>
          <w:szCs w:val="20"/>
        </w:rPr>
        <w:t>S</w:t>
      </w:r>
      <w:r w:rsidRPr="00266031">
        <w:rPr>
          <w:rFonts w:ascii="Segoe UI" w:hAnsi="Segoe UI" w:cs="Segoe UI"/>
          <w:color w:val="2B3245"/>
          <w:sz w:val="20"/>
          <w:szCs w:val="20"/>
        </w:rPr>
        <w:t>olutions.</w:t>
      </w:r>
      <w:r w:rsidR="00266031" w:rsidRPr="00266031">
        <w:rPr>
          <w:rFonts w:ascii="Segoe UI" w:hAnsi="Segoe UI" w:cs="Segoe UI"/>
          <w:color w:val="2B3245"/>
          <w:sz w:val="20"/>
          <w:szCs w:val="20"/>
        </w:rPr>
        <w:t xml:space="preserve">  </w:t>
      </w:r>
      <w:r w:rsidR="00266031" w:rsidRPr="00266031">
        <w:rPr>
          <w:rFonts w:ascii="Segoe UI" w:hAnsi="Segoe UI" w:cs="Segoe UI"/>
          <w:sz w:val="20"/>
          <w:szCs w:val="20"/>
        </w:rPr>
        <w:t>CEI has taken appropriate action for conflict resolution, including external peer review.</w:t>
      </w:r>
    </w:p>
    <w:p w14:paraId="2C79435C" w14:textId="77777777" w:rsidR="008602BB" w:rsidRDefault="008602BB" w:rsidP="008602BB">
      <w:pPr>
        <w:pStyle w:val="NoSpacing"/>
        <w:rPr>
          <w:rFonts w:ascii="T3Font_4" w:hAnsi="T3Font_4" w:cs="T3Font_4"/>
          <w:color w:val="2B3245"/>
          <w:sz w:val="20"/>
          <w:szCs w:val="20"/>
        </w:rPr>
      </w:pPr>
    </w:p>
    <w:p w14:paraId="154CB5F2" w14:textId="0D6EE472" w:rsidR="00E31F88" w:rsidRPr="00BC2732" w:rsidRDefault="00BC2732" w:rsidP="008602BB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2B3245"/>
          <w:sz w:val="20"/>
          <w:szCs w:val="20"/>
        </w:rPr>
        <w:t xml:space="preserve">Dr. Scott and </w:t>
      </w:r>
      <w:r w:rsidR="008602BB" w:rsidRPr="00BC2732">
        <w:rPr>
          <w:rFonts w:ascii="Segoe UI" w:hAnsi="Segoe UI" w:cs="Segoe UI"/>
          <w:color w:val="2B3245"/>
          <w:sz w:val="20"/>
          <w:szCs w:val="20"/>
        </w:rPr>
        <w:t>Dr. Roussel</w:t>
      </w:r>
      <w:r w:rsidRPr="00BC2732">
        <w:rPr>
          <w:rFonts w:ascii="Segoe UI" w:hAnsi="Segoe UI" w:cs="Segoe UI"/>
          <w:color w:val="2B3245"/>
          <w:sz w:val="20"/>
          <w:szCs w:val="20"/>
        </w:rPr>
        <w:t xml:space="preserve"> </w:t>
      </w:r>
      <w:r w:rsidR="00E31F88" w:rsidRPr="00BC2732">
        <w:rPr>
          <w:rFonts w:ascii="Segoe UI" w:hAnsi="Segoe UI" w:cs="Segoe UI"/>
          <w:sz w:val="20"/>
          <w:szCs w:val="20"/>
        </w:rPr>
        <w:t xml:space="preserve">do not report any actual or potential conflicts of interest in relation to this continuing pharmacy education </w:t>
      </w:r>
      <w:r w:rsidR="00EB133A" w:rsidRPr="00BC2732">
        <w:rPr>
          <w:rFonts w:ascii="Segoe UI" w:hAnsi="Segoe UI" w:cs="Segoe UI"/>
          <w:sz w:val="20"/>
          <w:szCs w:val="20"/>
        </w:rPr>
        <w:t>course</w:t>
      </w:r>
      <w:r w:rsidR="00E31F88" w:rsidRPr="00BC2732">
        <w:rPr>
          <w:rFonts w:ascii="Segoe UI" w:hAnsi="Segoe UI" w:cs="Segoe UI"/>
          <w:sz w:val="20"/>
          <w:szCs w:val="20"/>
        </w:rPr>
        <w:t xml:space="preserve">.  </w:t>
      </w:r>
    </w:p>
    <w:p w14:paraId="4DAE350C" w14:textId="77777777" w:rsidR="00E01365" w:rsidRPr="00F908A9" w:rsidRDefault="00E01365" w:rsidP="00E31F88">
      <w:pPr>
        <w:pStyle w:val="NoSpacing"/>
        <w:rPr>
          <w:rFonts w:ascii="Segoe UI" w:hAnsi="Segoe UI" w:cs="Segoe UI"/>
          <w:sz w:val="20"/>
          <w:szCs w:val="20"/>
        </w:rPr>
        <w:sectPr w:rsidR="00E01365" w:rsidRPr="00F908A9" w:rsidSect="006E465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795557" w14:textId="77777777" w:rsidR="00F908A9" w:rsidRDefault="00F908A9" w:rsidP="00E31F88">
      <w:pPr>
        <w:pStyle w:val="NoSpacing"/>
        <w:rPr>
          <w:rFonts w:ascii="Segoe UI" w:hAnsi="Segoe UI" w:cs="Segoe UI"/>
          <w:b/>
          <w:color w:val="70AD47" w:themeColor="accent6"/>
          <w:sz w:val="20"/>
          <w:szCs w:val="20"/>
        </w:rPr>
      </w:pPr>
    </w:p>
    <w:p w14:paraId="28700EB9" w14:textId="42CD1516" w:rsidR="00E31F88" w:rsidRPr="00BF1021" w:rsidRDefault="00F908A9" w:rsidP="00E31F88">
      <w:pPr>
        <w:pStyle w:val="NoSpacing"/>
        <w:rPr>
          <w:rFonts w:ascii="Segoe UI" w:hAnsi="Segoe UI" w:cs="Segoe UI"/>
          <w:b/>
          <w:color w:val="33BA6B"/>
          <w:sz w:val="20"/>
          <w:szCs w:val="20"/>
        </w:rPr>
      </w:pPr>
      <w:r w:rsidRPr="00BF1021">
        <w:rPr>
          <w:rFonts w:ascii="Segoe UI" w:hAnsi="Segoe UI" w:cs="Segoe UI"/>
          <w:b/>
          <w:color w:val="33BA6B"/>
          <w:sz w:val="20"/>
          <w:szCs w:val="20"/>
        </w:rPr>
        <w:t>CPE Credit</w:t>
      </w:r>
    </w:p>
    <w:p w14:paraId="6DF19BB5" w14:textId="769A37E8" w:rsidR="00E31F88" w:rsidRPr="00F908A9" w:rsidRDefault="00E31F88" w:rsidP="00E31F88">
      <w:pPr>
        <w:pStyle w:val="NoSpacing"/>
        <w:rPr>
          <w:rFonts w:ascii="Segoe UI" w:hAnsi="Segoe UI" w:cs="Segoe UI"/>
          <w:sz w:val="20"/>
          <w:szCs w:val="20"/>
        </w:rPr>
      </w:pPr>
      <w:r w:rsidRPr="00F908A9"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78CEAB7B" wp14:editId="68B1C994">
            <wp:extent cx="457200" cy="342900"/>
            <wp:effectExtent l="0" t="0" r="0" b="0"/>
            <wp:docPr id="3" name="Picture 3" descr="ACP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PE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8A9">
        <w:rPr>
          <w:rFonts w:ascii="Segoe UI" w:hAnsi="Segoe UI" w:cs="Segoe UI"/>
          <w:sz w:val="20"/>
          <w:szCs w:val="20"/>
        </w:rPr>
        <w:t xml:space="preserve"> CEI is accredited by the Accreditation Council for Pharmacy Education as a provider of continuing pharmacy education.  </w:t>
      </w:r>
    </w:p>
    <w:p w14:paraId="19DAC3C4" w14:textId="77777777" w:rsidR="0045201B" w:rsidRDefault="0045201B" w:rsidP="00E31F88">
      <w:pPr>
        <w:pStyle w:val="NoSpacing"/>
        <w:rPr>
          <w:rFonts w:ascii="Segoe UI" w:hAnsi="Segoe UI" w:cs="Segoe UI"/>
          <w:sz w:val="20"/>
          <w:szCs w:val="20"/>
        </w:rPr>
      </w:pPr>
    </w:p>
    <w:p w14:paraId="415E82C2" w14:textId="69C9E2D9" w:rsidR="00E31F88" w:rsidRDefault="00E31F88" w:rsidP="00E31F88">
      <w:pPr>
        <w:pStyle w:val="NoSpacing"/>
        <w:rPr>
          <w:rFonts w:ascii="Segoe UI" w:hAnsi="Segoe UI" w:cs="Segoe UI"/>
          <w:sz w:val="20"/>
          <w:szCs w:val="20"/>
        </w:rPr>
      </w:pPr>
      <w:r w:rsidRPr="00F908A9">
        <w:rPr>
          <w:rFonts w:ascii="Segoe UI" w:hAnsi="Segoe UI" w:cs="Segoe UI"/>
          <w:b/>
          <w:sz w:val="20"/>
          <w:szCs w:val="20"/>
        </w:rPr>
        <w:t>UAN:</w:t>
      </w:r>
      <w:r w:rsidR="00F908A9" w:rsidRPr="00F908A9">
        <w:rPr>
          <w:rFonts w:ascii="Segoe UI" w:hAnsi="Segoe UI" w:cs="Segoe UI"/>
          <w:sz w:val="20"/>
          <w:szCs w:val="20"/>
        </w:rPr>
        <w:t xml:space="preserve"> </w:t>
      </w:r>
      <w:r w:rsidR="00F75C4A" w:rsidRPr="00F75C4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0107-9999-19-</w:t>
      </w:r>
      <w:r w:rsidR="002D4D9F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353</w:t>
      </w:r>
      <w:r w:rsidR="00F75C4A" w:rsidRPr="00F75C4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-</w:t>
      </w:r>
      <w:r w:rsidR="00C22CE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L</w:t>
      </w:r>
      <w:r w:rsidR="00F75C4A" w:rsidRPr="00F75C4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0</w:t>
      </w:r>
      <w:r w:rsidR="002D4D9F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1</w:t>
      </w:r>
      <w:r w:rsidR="00F75C4A" w:rsidRPr="00F75C4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-P</w:t>
      </w:r>
      <w:r w:rsidR="00F908A9">
        <w:rPr>
          <w:rFonts w:ascii="Segoe UI" w:hAnsi="Segoe UI" w:cs="Segoe UI"/>
          <w:sz w:val="20"/>
          <w:szCs w:val="20"/>
        </w:rPr>
        <w:tab/>
        <w:t xml:space="preserve">    |     </w:t>
      </w:r>
      <w:r w:rsidRPr="00F908A9">
        <w:rPr>
          <w:rFonts w:ascii="Segoe UI" w:hAnsi="Segoe UI" w:cs="Segoe UI"/>
          <w:sz w:val="20"/>
          <w:szCs w:val="20"/>
        </w:rPr>
        <w:t>0.</w:t>
      </w:r>
      <w:r w:rsidR="00C22CEA">
        <w:rPr>
          <w:rFonts w:ascii="Segoe UI" w:hAnsi="Segoe UI" w:cs="Segoe UI"/>
          <w:sz w:val="20"/>
          <w:szCs w:val="20"/>
        </w:rPr>
        <w:t>2</w:t>
      </w:r>
      <w:r w:rsidRPr="00F908A9">
        <w:rPr>
          <w:rFonts w:ascii="Segoe UI" w:hAnsi="Segoe UI" w:cs="Segoe UI"/>
          <w:sz w:val="20"/>
          <w:szCs w:val="20"/>
        </w:rPr>
        <w:t>0 CEUs/</w:t>
      </w:r>
      <w:r w:rsidR="00C22CEA">
        <w:rPr>
          <w:rFonts w:ascii="Segoe UI" w:hAnsi="Segoe UI" w:cs="Segoe UI"/>
          <w:sz w:val="20"/>
          <w:szCs w:val="20"/>
        </w:rPr>
        <w:t>2</w:t>
      </w:r>
      <w:r w:rsidRPr="00F908A9">
        <w:rPr>
          <w:rFonts w:ascii="Segoe UI" w:hAnsi="Segoe UI" w:cs="Segoe UI"/>
          <w:sz w:val="20"/>
          <w:szCs w:val="20"/>
        </w:rPr>
        <w:t>.0 Hrs.</w:t>
      </w:r>
    </w:p>
    <w:p w14:paraId="01109A05" w14:textId="7D236885" w:rsidR="002D4D9F" w:rsidRDefault="002D4D9F" w:rsidP="00E31F88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</w:t>
      </w:r>
      <w:r w:rsidRPr="00F75C4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0107-9999-19-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353</w:t>
      </w:r>
      <w:r w:rsidRPr="00F75C4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-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H</w:t>
      </w:r>
      <w:r w:rsidRPr="00F75C4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0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1</w:t>
      </w:r>
      <w:r w:rsidRPr="00F75C4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-P</w:t>
      </w:r>
      <w:r>
        <w:rPr>
          <w:rFonts w:ascii="Segoe UI" w:hAnsi="Segoe UI" w:cs="Segoe UI"/>
          <w:sz w:val="20"/>
          <w:szCs w:val="20"/>
        </w:rPr>
        <w:tab/>
        <w:t xml:space="preserve">    |     </w:t>
      </w:r>
      <w:r w:rsidRPr="00F908A9">
        <w:rPr>
          <w:rFonts w:ascii="Segoe UI" w:hAnsi="Segoe UI" w:cs="Segoe UI"/>
          <w:sz w:val="20"/>
          <w:szCs w:val="20"/>
        </w:rPr>
        <w:t>0.</w:t>
      </w:r>
      <w:r>
        <w:rPr>
          <w:rFonts w:ascii="Segoe UI" w:hAnsi="Segoe UI" w:cs="Segoe UI"/>
          <w:sz w:val="20"/>
          <w:szCs w:val="20"/>
        </w:rPr>
        <w:t>2</w:t>
      </w:r>
      <w:r w:rsidRPr="00F908A9">
        <w:rPr>
          <w:rFonts w:ascii="Segoe UI" w:hAnsi="Segoe UI" w:cs="Segoe UI"/>
          <w:sz w:val="20"/>
          <w:szCs w:val="20"/>
        </w:rPr>
        <w:t>0 CEUs/</w:t>
      </w:r>
      <w:r>
        <w:rPr>
          <w:rFonts w:ascii="Segoe UI" w:hAnsi="Segoe UI" w:cs="Segoe UI"/>
          <w:sz w:val="20"/>
          <w:szCs w:val="20"/>
        </w:rPr>
        <w:t>2</w:t>
      </w:r>
      <w:r w:rsidRPr="00F908A9">
        <w:rPr>
          <w:rFonts w:ascii="Segoe UI" w:hAnsi="Segoe UI" w:cs="Segoe UI"/>
          <w:sz w:val="20"/>
          <w:szCs w:val="20"/>
        </w:rPr>
        <w:t>.0 Hrs.</w:t>
      </w:r>
    </w:p>
    <w:p w14:paraId="468E6417" w14:textId="2103CD92" w:rsidR="00DF7FD2" w:rsidRPr="00DF7FD2" w:rsidRDefault="00DF7FD2" w:rsidP="00DF7FD2">
      <w:pPr>
        <w:pStyle w:val="NoSpacing"/>
        <w:rPr>
          <w:rFonts w:ascii="Segoe UI" w:hAnsi="Segoe UI" w:cs="Segoe UI"/>
          <w:sz w:val="20"/>
          <w:szCs w:val="20"/>
        </w:rPr>
      </w:pPr>
      <w:r w:rsidRPr="00DF7FD2">
        <w:rPr>
          <w:rFonts w:ascii="Segoe UI" w:hAnsi="Segoe UI" w:cs="Segoe UI"/>
          <w:sz w:val="20"/>
          <w:szCs w:val="20"/>
        </w:rPr>
        <w:lastRenderedPageBreak/>
        <w:t xml:space="preserve">Live </w:t>
      </w:r>
      <w:r w:rsidR="00163A6A">
        <w:rPr>
          <w:rFonts w:ascii="Segoe UI" w:hAnsi="Segoe UI" w:cs="Segoe UI"/>
          <w:sz w:val="20"/>
          <w:szCs w:val="20"/>
        </w:rPr>
        <w:t>Course</w:t>
      </w:r>
      <w:r w:rsidRPr="00DF7FD2">
        <w:rPr>
          <w:rFonts w:ascii="Segoe UI" w:hAnsi="Segoe UI" w:cs="Segoe UI"/>
          <w:sz w:val="20"/>
          <w:szCs w:val="20"/>
        </w:rPr>
        <w:t xml:space="preserve"> Date: </w:t>
      </w:r>
      <w:r>
        <w:rPr>
          <w:rFonts w:ascii="Segoe UI" w:hAnsi="Segoe UI" w:cs="Segoe UI"/>
          <w:sz w:val="20"/>
          <w:szCs w:val="20"/>
        </w:rPr>
        <w:t>December</w:t>
      </w:r>
      <w:r w:rsidRPr="00DF7FD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23</w:t>
      </w:r>
      <w:r w:rsidRPr="00DF7FD2">
        <w:rPr>
          <w:rFonts w:ascii="Segoe UI" w:hAnsi="Segoe UI" w:cs="Segoe UI"/>
          <w:sz w:val="20"/>
          <w:szCs w:val="20"/>
          <w:vertAlign w:val="superscript"/>
        </w:rPr>
        <w:t>rd</w:t>
      </w:r>
      <w:r w:rsidRPr="00DF7FD2">
        <w:rPr>
          <w:rFonts w:ascii="Segoe UI" w:hAnsi="Segoe UI" w:cs="Segoe UI"/>
          <w:sz w:val="20"/>
          <w:szCs w:val="20"/>
        </w:rPr>
        <w:t>, 2019</w:t>
      </w:r>
    </w:p>
    <w:p w14:paraId="5FA2AA3C" w14:textId="146F37D4" w:rsidR="00DF7FD2" w:rsidRPr="00DF7FD2" w:rsidRDefault="00DF7FD2" w:rsidP="00DF7FD2">
      <w:pPr>
        <w:pStyle w:val="NoSpacing"/>
        <w:rPr>
          <w:rFonts w:ascii="Segoe UI" w:hAnsi="Segoe UI" w:cs="Segoe UI"/>
          <w:sz w:val="20"/>
          <w:szCs w:val="20"/>
        </w:rPr>
      </w:pPr>
      <w:r w:rsidRPr="00DF7FD2">
        <w:rPr>
          <w:rFonts w:ascii="Segoe UI" w:hAnsi="Segoe UI" w:cs="Segoe UI"/>
          <w:sz w:val="20"/>
          <w:szCs w:val="20"/>
        </w:rPr>
        <w:t xml:space="preserve">Live Expiration Date: </w:t>
      </w:r>
      <w:r w:rsidR="00163A6A">
        <w:rPr>
          <w:rFonts w:ascii="Segoe UI" w:hAnsi="Segoe UI" w:cs="Segoe UI"/>
          <w:sz w:val="20"/>
          <w:szCs w:val="20"/>
        </w:rPr>
        <w:t>January</w:t>
      </w:r>
      <w:r w:rsidRPr="00DF7FD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</w:t>
      </w:r>
      <w:r w:rsidR="00163A6A">
        <w:rPr>
          <w:rFonts w:ascii="Segoe UI" w:hAnsi="Segoe UI" w:cs="Segoe UI"/>
          <w:sz w:val="20"/>
          <w:szCs w:val="20"/>
        </w:rPr>
        <w:t>2</w:t>
      </w:r>
      <w:r w:rsidR="00163A6A" w:rsidRPr="00163A6A">
        <w:rPr>
          <w:rFonts w:ascii="Segoe UI" w:hAnsi="Segoe UI" w:cs="Segoe UI"/>
          <w:sz w:val="20"/>
          <w:szCs w:val="20"/>
          <w:vertAlign w:val="superscript"/>
        </w:rPr>
        <w:t>nd</w:t>
      </w:r>
      <w:r w:rsidRPr="00DF7FD2">
        <w:rPr>
          <w:rFonts w:ascii="Segoe UI" w:hAnsi="Segoe UI" w:cs="Segoe UI"/>
          <w:sz w:val="20"/>
          <w:szCs w:val="20"/>
        </w:rPr>
        <w:t>, 2019</w:t>
      </w:r>
    </w:p>
    <w:p w14:paraId="7E699E81" w14:textId="2E531468" w:rsidR="00DF7FD2" w:rsidRPr="00DF7FD2" w:rsidRDefault="00DF7FD2" w:rsidP="00DF7FD2">
      <w:pPr>
        <w:pStyle w:val="NoSpacing"/>
        <w:rPr>
          <w:rFonts w:ascii="Segoe UI" w:hAnsi="Segoe UI" w:cs="Segoe UI"/>
          <w:sz w:val="20"/>
          <w:szCs w:val="20"/>
        </w:rPr>
      </w:pPr>
      <w:r w:rsidRPr="00DF7FD2">
        <w:rPr>
          <w:rFonts w:ascii="Segoe UI" w:hAnsi="Segoe UI" w:cs="Segoe UI"/>
          <w:sz w:val="20"/>
          <w:szCs w:val="20"/>
        </w:rPr>
        <w:t xml:space="preserve">On Demand Release Date: </w:t>
      </w:r>
      <w:r>
        <w:rPr>
          <w:rFonts w:ascii="Segoe UI" w:hAnsi="Segoe UI" w:cs="Segoe UI"/>
          <w:sz w:val="20"/>
          <w:szCs w:val="20"/>
        </w:rPr>
        <w:t>December</w:t>
      </w:r>
      <w:r w:rsidRPr="00DF7FD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23</w:t>
      </w:r>
      <w:r w:rsidRPr="00DF7FD2">
        <w:rPr>
          <w:rFonts w:ascii="Segoe UI" w:hAnsi="Segoe UI" w:cs="Segoe UI"/>
          <w:sz w:val="20"/>
          <w:szCs w:val="20"/>
          <w:vertAlign w:val="superscript"/>
        </w:rPr>
        <w:t>rd</w:t>
      </w:r>
      <w:r w:rsidRPr="00DF7FD2">
        <w:rPr>
          <w:rFonts w:ascii="Segoe UI" w:hAnsi="Segoe UI" w:cs="Segoe UI"/>
          <w:sz w:val="20"/>
          <w:szCs w:val="20"/>
        </w:rPr>
        <w:t>, 2019</w:t>
      </w:r>
    </w:p>
    <w:p w14:paraId="34F2AB7B" w14:textId="4E61C764" w:rsidR="00DF7FD2" w:rsidRPr="00DF7FD2" w:rsidRDefault="00DF7FD2" w:rsidP="00DF7FD2">
      <w:pPr>
        <w:pStyle w:val="NoSpacing"/>
        <w:rPr>
          <w:rFonts w:ascii="Segoe UI" w:hAnsi="Segoe UI" w:cs="Segoe UI"/>
          <w:sz w:val="20"/>
          <w:szCs w:val="20"/>
        </w:rPr>
      </w:pPr>
      <w:r w:rsidRPr="00DF7FD2">
        <w:rPr>
          <w:rFonts w:ascii="Segoe UI" w:hAnsi="Segoe UI" w:cs="Segoe UI"/>
          <w:sz w:val="20"/>
          <w:szCs w:val="20"/>
        </w:rPr>
        <w:t xml:space="preserve">On Demand Expiration Date: </w:t>
      </w:r>
      <w:r>
        <w:rPr>
          <w:rFonts w:ascii="Segoe UI" w:hAnsi="Segoe UI" w:cs="Segoe UI"/>
          <w:sz w:val="20"/>
          <w:szCs w:val="20"/>
        </w:rPr>
        <w:t>December</w:t>
      </w:r>
      <w:r w:rsidRPr="00DF7FD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23</w:t>
      </w:r>
      <w:r w:rsidRPr="00DF7FD2">
        <w:rPr>
          <w:rFonts w:ascii="Segoe UI" w:hAnsi="Segoe UI" w:cs="Segoe UI"/>
          <w:sz w:val="20"/>
          <w:szCs w:val="20"/>
          <w:vertAlign w:val="superscript"/>
        </w:rPr>
        <w:t>rd</w:t>
      </w:r>
      <w:r w:rsidRPr="00DF7FD2">
        <w:rPr>
          <w:rFonts w:ascii="Segoe UI" w:hAnsi="Segoe UI" w:cs="Segoe UI"/>
          <w:sz w:val="20"/>
          <w:szCs w:val="20"/>
        </w:rPr>
        <w:t>, 2020</w:t>
      </w:r>
    </w:p>
    <w:p w14:paraId="3947BFC5" w14:textId="2F35FA4E" w:rsidR="00E31F88" w:rsidRPr="00F908A9" w:rsidRDefault="00E31F88" w:rsidP="00E31F88">
      <w:pPr>
        <w:pStyle w:val="NoSpacing"/>
        <w:rPr>
          <w:rFonts w:ascii="Segoe UI" w:hAnsi="Segoe UI" w:cs="Segoe UI"/>
          <w:sz w:val="20"/>
          <w:szCs w:val="20"/>
        </w:rPr>
      </w:pPr>
    </w:p>
    <w:p w14:paraId="26EE43FD" w14:textId="77777777" w:rsidR="009C0D4C" w:rsidRDefault="009C0D4C" w:rsidP="00E31F88">
      <w:pPr>
        <w:pStyle w:val="NoSpacing"/>
        <w:rPr>
          <w:rFonts w:ascii="Segoe UI" w:hAnsi="Segoe UI" w:cs="Segoe UI"/>
          <w:i/>
          <w:sz w:val="20"/>
          <w:szCs w:val="20"/>
        </w:rPr>
      </w:pPr>
    </w:p>
    <w:p w14:paraId="2E153DF0" w14:textId="4717F1B3" w:rsidR="00AC2055" w:rsidRPr="00F908A9" w:rsidRDefault="00163A6A" w:rsidP="00AC2055">
      <w:pPr>
        <w:pStyle w:val="NoSpacing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LIVE: </w:t>
      </w:r>
      <w:r w:rsidR="00AC2055" w:rsidRPr="00F908A9">
        <w:rPr>
          <w:rFonts w:ascii="Segoe UI" w:hAnsi="Segoe UI" w:cs="Segoe UI"/>
          <w:i/>
          <w:sz w:val="20"/>
          <w:szCs w:val="20"/>
        </w:rPr>
        <w:t xml:space="preserve">To obtain </w:t>
      </w:r>
      <w:r w:rsidR="00AC2055">
        <w:rPr>
          <w:rFonts w:ascii="Segoe UI" w:hAnsi="Segoe UI" w:cs="Segoe UI"/>
          <w:i/>
          <w:sz w:val="20"/>
          <w:szCs w:val="20"/>
        </w:rPr>
        <w:t>2</w:t>
      </w:r>
      <w:r w:rsidR="00AC2055" w:rsidRPr="00F908A9">
        <w:rPr>
          <w:rFonts w:ascii="Segoe UI" w:hAnsi="Segoe UI" w:cs="Segoe UI"/>
          <w:i/>
          <w:sz w:val="20"/>
          <w:szCs w:val="20"/>
        </w:rPr>
        <w:t>.0 contact hours of continuing pharmacy education credit (0.</w:t>
      </w:r>
      <w:r w:rsidR="00AC2055">
        <w:rPr>
          <w:rFonts w:ascii="Segoe UI" w:hAnsi="Segoe UI" w:cs="Segoe UI"/>
          <w:i/>
          <w:sz w:val="20"/>
          <w:szCs w:val="20"/>
        </w:rPr>
        <w:t>2</w:t>
      </w:r>
      <w:r w:rsidR="00AC2055" w:rsidRPr="00F908A9">
        <w:rPr>
          <w:rFonts w:ascii="Segoe UI" w:hAnsi="Segoe UI" w:cs="Segoe UI"/>
          <w:i/>
          <w:sz w:val="20"/>
          <w:szCs w:val="20"/>
        </w:rPr>
        <w:t xml:space="preserve"> CEU), participants must participate in the </w:t>
      </w:r>
      <w:r w:rsidR="00AC2055">
        <w:rPr>
          <w:rFonts w:ascii="Segoe UI" w:hAnsi="Segoe UI" w:cs="Segoe UI"/>
          <w:i/>
          <w:sz w:val="20"/>
          <w:szCs w:val="20"/>
        </w:rPr>
        <w:t>live</w:t>
      </w:r>
      <w:r w:rsidR="00AC2055" w:rsidRPr="00F908A9">
        <w:rPr>
          <w:rFonts w:ascii="Segoe UI" w:hAnsi="Segoe UI" w:cs="Segoe UI"/>
          <w:i/>
          <w:sz w:val="20"/>
          <w:szCs w:val="20"/>
        </w:rPr>
        <w:t xml:space="preserve"> </w:t>
      </w:r>
      <w:r>
        <w:rPr>
          <w:rFonts w:ascii="Segoe UI" w:hAnsi="Segoe UI" w:cs="Segoe UI"/>
          <w:i/>
          <w:sz w:val="20"/>
          <w:szCs w:val="20"/>
        </w:rPr>
        <w:t>course</w:t>
      </w:r>
      <w:r w:rsidR="00AC2055" w:rsidRPr="00F908A9">
        <w:rPr>
          <w:rFonts w:ascii="Segoe UI" w:hAnsi="Segoe UI" w:cs="Segoe UI"/>
          <w:i/>
          <w:sz w:val="20"/>
          <w:szCs w:val="20"/>
        </w:rPr>
        <w:t>, and logon to the CEI</w:t>
      </w:r>
      <w:r w:rsidR="00AC2055">
        <w:rPr>
          <w:rFonts w:ascii="Segoe UI" w:hAnsi="Segoe UI" w:cs="Segoe UI"/>
          <w:i/>
          <w:sz w:val="20"/>
          <w:szCs w:val="20"/>
        </w:rPr>
        <w:t>mpact</w:t>
      </w:r>
      <w:r w:rsidR="00AC2055" w:rsidRPr="00F908A9">
        <w:rPr>
          <w:rFonts w:ascii="Segoe UI" w:hAnsi="Segoe UI" w:cs="Segoe UI"/>
          <w:i/>
          <w:sz w:val="20"/>
          <w:szCs w:val="20"/>
        </w:rPr>
        <w:t xml:space="preserve"> website to complete the </w:t>
      </w:r>
      <w:r w:rsidR="00077B69">
        <w:rPr>
          <w:rFonts w:ascii="Segoe UI" w:hAnsi="Segoe UI" w:cs="Segoe UI"/>
          <w:i/>
          <w:sz w:val="20"/>
          <w:szCs w:val="20"/>
        </w:rPr>
        <w:t xml:space="preserve">exam and </w:t>
      </w:r>
      <w:r w:rsidR="00AC2055" w:rsidRPr="00F908A9">
        <w:rPr>
          <w:rFonts w:ascii="Segoe UI" w:hAnsi="Segoe UI" w:cs="Segoe UI"/>
          <w:i/>
          <w:sz w:val="20"/>
          <w:szCs w:val="20"/>
        </w:rPr>
        <w:t>evaluatio</w:t>
      </w:r>
      <w:r w:rsidR="00AC2055">
        <w:rPr>
          <w:rFonts w:ascii="Segoe UI" w:hAnsi="Segoe UI" w:cs="Segoe UI"/>
          <w:i/>
          <w:sz w:val="20"/>
          <w:szCs w:val="20"/>
        </w:rPr>
        <w:t>n</w:t>
      </w:r>
      <w:r w:rsidR="00AC2055" w:rsidRPr="00F908A9">
        <w:rPr>
          <w:rFonts w:ascii="Segoe UI" w:hAnsi="Segoe UI" w:cs="Segoe UI"/>
          <w:i/>
          <w:sz w:val="20"/>
          <w:szCs w:val="20"/>
        </w:rPr>
        <w:t xml:space="preserve">. Once successfully completed, click Submit. The CPE Statement of Credit can then be accessed on CPE Monitor, </w:t>
      </w:r>
      <w:hyperlink r:id="rId13" w:history="1">
        <w:r w:rsidR="00AC2055" w:rsidRPr="00F908A9">
          <w:rPr>
            <w:rStyle w:val="Hyperlink"/>
            <w:rFonts w:ascii="Segoe UI" w:hAnsi="Segoe UI" w:cs="Segoe UI"/>
            <w:i/>
            <w:sz w:val="20"/>
            <w:szCs w:val="20"/>
          </w:rPr>
          <w:t>www.MyCPEMonitor.net</w:t>
        </w:r>
      </w:hyperlink>
      <w:r w:rsidR="00AC2055" w:rsidRPr="00F908A9">
        <w:rPr>
          <w:rFonts w:ascii="Segoe UI" w:hAnsi="Segoe UI" w:cs="Segoe UI"/>
          <w:i/>
          <w:sz w:val="20"/>
          <w:szCs w:val="20"/>
        </w:rPr>
        <w:t>.</w:t>
      </w:r>
    </w:p>
    <w:p w14:paraId="33078314" w14:textId="245D9EB0" w:rsidR="00E31F88" w:rsidRDefault="00E31F88" w:rsidP="00E31F88">
      <w:pPr>
        <w:pStyle w:val="NoSpacing"/>
        <w:rPr>
          <w:rFonts w:ascii="Segoe UI" w:hAnsi="Segoe UI" w:cs="Segoe UI"/>
          <w:sz w:val="20"/>
          <w:szCs w:val="20"/>
        </w:rPr>
      </w:pPr>
    </w:p>
    <w:p w14:paraId="54A90DC3" w14:textId="70464ED0" w:rsidR="00163A6A" w:rsidRPr="00F908A9" w:rsidRDefault="00163A6A" w:rsidP="00163A6A">
      <w:pPr>
        <w:pStyle w:val="NoSpacing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ON DEMAND: </w:t>
      </w:r>
      <w:r w:rsidRPr="00F908A9">
        <w:rPr>
          <w:rFonts w:ascii="Segoe UI" w:hAnsi="Segoe UI" w:cs="Segoe UI"/>
          <w:i/>
          <w:sz w:val="20"/>
          <w:szCs w:val="20"/>
        </w:rPr>
        <w:t xml:space="preserve">To obtain </w:t>
      </w:r>
      <w:r>
        <w:rPr>
          <w:rFonts w:ascii="Segoe UI" w:hAnsi="Segoe UI" w:cs="Segoe UI"/>
          <w:i/>
          <w:sz w:val="20"/>
          <w:szCs w:val="20"/>
        </w:rPr>
        <w:t>2</w:t>
      </w:r>
      <w:r w:rsidRPr="00F908A9">
        <w:rPr>
          <w:rFonts w:ascii="Segoe UI" w:hAnsi="Segoe UI" w:cs="Segoe UI"/>
          <w:i/>
          <w:sz w:val="20"/>
          <w:szCs w:val="20"/>
        </w:rPr>
        <w:t>.0 contact hours of continuing pharmacy education credit (0.</w:t>
      </w:r>
      <w:r>
        <w:rPr>
          <w:rFonts w:ascii="Segoe UI" w:hAnsi="Segoe UI" w:cs="Segoe UI"/>
          <w:i/>
          <w:sz w:val="20"/>
          <w:szCs w:val="20"/>
        </w:rPr>
        <w:t>2</w:t>
      </w:r>
      <w:r w:rsidRPr="00F908A9">
        <w:rPr>
          <w:rFonts w:ascii="Segoe UI" w:hAnsi="Segoe UI" w:cs="Segoe UI"/>
          <w:i/>
          <w:sz w:val="20"/>
          <w:szCs w:val="20"/>
        </w:rPr>
        <w:t xml:space="preserve"> CEU), participants must participate in the </w:t>
      </w:r>
      <w:r w:rsidR="002E3995">
        <w:rPr>
          <w:rFonts w:ascii="Segoe UI" w:hAnsi="Segoe UI" w:cs="Segoe UI"/>
          <w:i/>
          <w:sz w:val="20"/>
          <w:szCs w:val="20"/>
        </w:rPr>
        <w:t>on-demand</w:t>
      </w:r>
      <w:r w:rsidRPr="00F908A9">
        <w:rPr>
          <w:rFonts w:ascii="Segoe UI" w:hAnsi="Segoe UI" w:cs="Segoe UI"/>
          <w:i/>
          <w:sz w:val="20"/>
          <w:szCs w:val="20"/>
        </w:rPr>
        <w:t xml:space="preserve"> </w:t>
      </w:r>
      <w:r>
        <w:rPr>
          <w:rFonts w:ascii="Segoe UI" w:hAnsi="Segoe UI" w:cs="Segoe UI"/>
          <w:i/>
          <w:sz w:val="20"/>
          <w:szCs w:val="20"/>
        </w:rPr>
        <w:t>course</w:t>
      </w:r>
      <w:r w:rsidRPr="00F908A9">
        <w:rPr>
          <w:rFonts w:ascii="Segoe UI" w:hAnsi="Segoe UI" w:cs="Segoe UI"/>
          <w:i/>
          <w:sz w:val="20"/>
          <w:szCs w:val="20"/>
        </w:rPr>
        <w:t xml:space="preserve">, </w:t>
      </w:r>
      <w:r w:rsidR="002E3995">
        <w:rPr>
          <w:rFonts w:ascii="Segoe UI" w:hAnsi="Segoe UI" w:cs="Segoe UI"/>
          <w:i/>
          <w:sz w:val="20"/>
          <w:szCs w:val="20"/>
        </w:rPr>
        <w:t>and</w:t>
      </w:r>
      <w:r w:rsidRPr="00F908A9">
        <w:rPr>
          <w:rFonts w:ascii="Segoe UI" w:hAnsi="Segoe UI" w:cs="Segoe UI"/>
          <w:i/>
          <w:sz w:val="20"/>
          <w:szCs w:val="20"/>
        </w:rPr>
        <w:t xml:space="preserve"> complete the </w:t>
      </w:r>
      <w:r w:rsidR="002E3995">
        <w:rPr>
          <w:rFonts w:ascii="Segoe UI" w:hAnsi="Segoe UI" w:cs="Segoe UI"/>
          <w:i/>
          <w:sz w:val="20"/>
          <w:szCs w:val="20"/>
        </w:rPr>
        <w:t xml:space="preserve">exam and </w:t>
      </w:r>
      <w:r w:rsidRPr="00F908A9">
        <w:rPr>
          <w:rFonts w:ascii="Segoe UI" w:hAnsi="Segoe UI" w:cs="Segoe UI"/>
          <w:i/>
          <w:sz w:val="20"/>
          <w:szCs w:val="20"/>
        </w:rPr>
        <w:t>evaluatio</w:t>
      </w:r>
      <w:r>
        <w:rPr>
          <w:rFonts w:ascii="Segoe UI" w:hAnsi="Segoe UI" w:cs="Segoe UI"/>
          <w:i/>
          <w:sz w:val="20"/>
          <w:szCs w:val="20"/>
        </w:rPr>
        <w:t>n</w:t>
      </w:r>
      <w:r w:rsidRPr="00F908A9">
        <w:rPr>
          <w:rFonts w:ascii="Segoe UI" w:hAnsi="Segoe UI" w:cs="Segoe UI"/>
          <w:i/>
          <w:sz w:val="20"/>
          <w:szCs w:val="20"/>
        </w:rPr>
        <w:t xml:space="preserve">. Once successfully completed, click Submit. The CPE Statement of Credit can then be accessed on CPE Monitor, </w:t>
      </w:r>
      <w:hyperlink r:id="rId14" w:history="1">
        <w:r w:rsidRPr="00F908A9">
          <w:rPr>
            <w:rStyle w:val="Hyperlink"/>
            <w:rFonts w:ascii="Segoe UI" w:hAnsi="Segoe UI" w:cs="Segoe UI"/>
            <w:i/>
            <w:sz w:val="20"/>
            <w:szCs w:val="20"/>
          </w:rPr>
          <w:t>www.MyCPEMonitor.net</w:t>
        </w:r>
      </w:hyperlink>
      <w:r w:rsidRPr="00F908A9">
        <w:rPr>
          <w:rFonts w:ascii="Segoe UI" w:hAnsi="Segoe UI" w:cs="Segoe UI"/>
          <w:i/>
          <w:sz w:val="20"/>
          <w:szCs w:val="20"/>
        </w:rPr>
        <w:t>.</w:t>
      </w:r>
    </w:p>
    <w:p w14:paraId="369D894D" w14:textId="77777777" w:rsidR="00163A6A" w:rsidRPr="00F908A9" w:rsidRDefault="00163A6A" w:rsidP="00E31F88">
      <w:pPr>
        <w:pStyle w:val="NoSpacing"/>
        <w:rPr>
          <w:rFonts w:ascii="Segoe UI" w:hAnsi="Segoe UI" w:cs="Segoe UI"/>
          <w:sz w:val="20"/>
          <w:szCs w:val="20"/>
        </w:rPr>
      </w:pPr>
    </w:p>
    <w:p w14:paraId="423C6CF5" w14:textId="7F4C33AB" w:rsidR="00E31F88" w:rsidRPr="00BF1021" w:rsidRDefault="002E3995" w:rsidP="00E31F88">
      <w:pPr>
        <w:pStyle w:val="NoSpacing"/>
        <w:rPr>
          <w:rFonts w:ascii="Segoe UI" w:hAnsi="Segoe UI" w:cs="Segoe UI"/>
          <w:b/>
          <w:color w:val="33BA6B"/>
          <w:szCs w:val="20"/>
        </w:rPr>
      </w:pPr>
      <w:r>
        <w:rPr>
          <w:rFonts w:ascii="Segoe UI" w:hAnsi="Segoe UI" w:cs="Segoe UI"/>
          <w:b/>
          <w:color w:val="33BA6B"/>
          <w:szCs w:val="20"/>
        </w:rPr>
        <w:t>Course</w:t>
      </w:r>
      <w:r w:rsidR="00E31F88" w:rsidRPr="00BF1021">
        <w:rPr>
          <w:rFonts w:ascii="Segoe UI" w:hAnsi="Segoe UI" w:cs="Segoe UI"/>
          <w:b/>
          <w:color w:val="33BA6B"/>
          <w:szCs w:val="20"/>
        </w:rPr>
        <w:t xml:space="preserve"> Format</w:t>
      </w:r>
    </w:p>
    <w:p w14:paraId="2A649626" w14:textId="0A1D8F55" w:rsidR="00F908A9" w:rsidRPr="00F908A9" w:rsidRDefault="00AC2055" w:rsidP="00E31F88">
      <w:pPr>
        <w:pStyle w:val="NoSpacing"/>
        <w:rPr>
          <w:rFonts w:ascii="Segoe UI" w:hAnsi="Segoe UI" w:cs="Segoe UI"/>
          <w:sz w:val="20"/>
          <w:szCs w:val="20"/>
        </w:rPr>
      </w:pPr>
      <w:bookmarkStart w:id="1" w:name="OLE_LINK1"/>
      <w:bookmarkStart w:id="2" w:name="OLE_LINK2"/>
      <w:r>
        <w:rPr>
          <w:rFonts w:ascii="Segoe UI" w:hAnsi="Segoe UI" w:cs="Segoe UI"/>
          <w:sz w:val="20"/>
          <w:szCs w:val="20"/>
        </w:rPr>
        <w:t>Live</w:t>
      </w:r>
      <w:r w:rsidR="002E3995">
        <w:rPr>
          <w:rFonts w:ascii="Segoe UI" w:hAnsi="Segoe UI" w:cs="Segoe UI"/>
          <w:sz w:val="20"/>
          <w:szCs w:val="20"/>
        </w:rPr>
        <w:t xml:space="preserve"> and on-demand</w:t>
      </w:r>
      <w:r>
        <w:rPr>
          <w:rFonts w:ascii="Segoe UI" w:hAnsi="Segoe UI" w:cs="Segoe UI"/>
          <w:sz w:val="20"/>
          <w:szCs w:val="20"/>
        </w:rPr>
        <w:t>.</w:t>
      </w:r>
    </w:p>
    <w:bookmarkEnd w:id="1"/>
    <w:bookmarkEnd w:id="2"/>
    <w:p w14:paraId="3E369801" w14:textId="77777777" w:rsidR="00E31F88" w:rsidRPr="00F908A9" w:rsidRDefault="00E31F88" w:rsidP="00E31F88">
      <w:pPr>
        <w:pStyle w:val="NoSpacing"/>
        <w:rPr>
          <w:rFonts w:ascii="Segoe UI" w:hAnsi="Segoe UI" w:cs="Segoe UI"/>
          <w:sz w:val="20"/>
          <w:szCs w:val="20"/>
        </w:rPr>
      </w:pPr>
    </w:p>
    <w:p w14:paraId="4F724444" w14:textId="5B6DB24B" w:rsidR="00E31F88" w:rsidRPr="00BF1021" w:rsidRDefault="00F908A9" w:rsidP="00E31F88">
      <w:pPr>
        <w:pStyle w:val="NoSpacing"/>
        <w:rPr>
          <w:rFonts w:ascii="Segoe UI" w:hAnsi="Segoe UI" w:cs="Segoe UI"/>
          <w:b/>
          <w:color w:val="33BA6B"/>
          <w:sz w:val="20"/>
          <w:szCs w:val="20"/>
        </w:rPr>
      </w:pPr>
      <w:r w:rsidRPr="00BF1021">
        <w:rPr>
          <w:rFonts w:ascii="Segoe UI" w:hAnsi="Segoe UI" w:cs="Segoe UI"/>
          <w:b/>
          <w:color w:val="33BA6B"/>
          <w:sz w:val="20"/>
          <w:szCs w:val="20"/>
        </w:rPr>
        <w:t>Financial Support</w:t>
      </w:r>
    </w:p>
    <w:p w14:paraId="6DB1BFBD" w14:textId="440F249A" w:rsidR="00E31F88" w:rsidRPr="00F908A9" w:rsidRDefault="00D92734" w:rsidP="00E31F88">
      <w:pPr>
        <w:pStyle w:val="NoSpacing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None.</w:t>
      </w:r>
    </w:p>
    <w:p w14:paraId="5715AA19" w14:textId="77777777" w:rsidR="00E31F88" w:rsidRPr="00F908A9" w:rsidRDefault="00E31F88" w:rsidP="00E31F88">
      <w:pPr>
        <w:pStyle w:val="NoSpacing"/>
        <w:rPr>
          <w:rFonts w:ascii="Segoe UI" w:hAnsi="Segoe UI" w:cs="Segoe UI"/>
          <w:sz w:val="20"/>
          <w:szCs w:val="20"/>
        </w:rPr>
      </w:pPr>
    </w:p>
    <w:p w14:paraId="788FEB32" w14:textId="4F178C8F" w:rsidR="00E31F88" w:rsidRPr="00BF1021" w:rsidRDefault="002E3995" w:rsidP="00E31F88">
      <w:pPr>
        <w:pStyle w:val="NoSpacing"/>
        <w:rPr>
          <w:rFonts w:ascii="Segoe UI" w:hAnsi="Segoe UI" w:cs="Segoe UI"/>
          <w:b/>
          <w:color w:val="33BA6B"/>
          <w:sz w:val="20"/>
          <w:szCs w:val="20"/>
        </w:rPr>
      </w:pPr>
      <w:r>
        <w:rPr>
          <w:rFonts w:ascii="Segoe UI" w:hAnsi="Segoe UI" w:cs="Segoe UI"/>
          <w:b/>
          <w:color w:val="33BA6B"/>
          <w:sz w:val="20"/>
          <w:szCs w:val="20"/>
        </w:rPr>
        <w:t>Course</w:t>
      </w:r>
      <w:r w:rsidR="00F908A9" w:rsidRPr="00BF1021">
        <w:rPr>
          <w:rFonts w:ascii="Segoe UI" w:hAnsi="Segoe UI" w:cs="Segoe UI"/>
          <w:b/>
          <w:color w:val="33BA6B"/>
          <w:sz w:val="20"/>
          <w:szCs w:val="20"/>
        </w:rPr>
        <w:t xml:space="preserve"> Fee</w:t>
      </w:r>
    </w:p>
    <w:p w14:paraId="2F6087DC" w14:textId="09270BE1" w:rsidR="00912336" w:rsidRPr="00F908A9" w:rsidRDefault="00E31F88" w:rsidP="00E31F88">
      <w:pPr>
        <w:pStyle w:val="NoSpacing"/>
        <w:rPr>
          <w:rFonts w:ascii="Segoe UI" w:hAnsi="Segoe UI" w:cs="Segoe UI"/>
          <w:sz w:val="20"/>
          <w:szCs w:val="20"/>
        </w:rPr>
        <w:sectPr w:rsidR="00912336" w:rsidRPr="00F908A9" w:rsidSect="00F908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908A9">
        <w:rPr>
          <w:rFonts w:ascii="Segoe UI" w:hAnsi="Segoe UI" w:cs="Segoe UI"/>
          <w:sz w:val="20"/>
          <w:szCs w:val="20"/>
        </w:rPr>
        <w:t xml:space="preserve">This </w:t>
      </w:r>
      <w:r w:rsidR="00AC2055">
        <w:rPr>
          <w:rFonts w:ascii="Segoe UI" w:hAnsi="Segoe UI" w:cs="Segoe UI"/>
          <w:sz w:val="20"/>
          <w:szCs w:val="20"/>
        </w:rPr>
        <w:t>course</w:t>
      </w:r>
      <w:r w:rsidRPr="00F908A9">
        <w:rPr>
          <w:rFonts w:ascii="Segoe UI" w:hAnsi="Segoe UI" w:cs="Segoe UI"/>
          <w:sz w:val="20"/>
          <w:szCs w:val="20"/>
        </w:rPr>
        <w:t xml:space="preserve"> is available </w:t>
      </w:r>
      <w:r w:rsidR="005D1EB4">
        <w:rPr>
          <w:rFonts w:ascii="Segoe UI" w:hAnsi="Segoe UI" w:cs="Segoe UI"/>
          <w:sz w:val="20"/>
          <w:szCs w:val="20"/>
        </w:rPr>
        <w:t xml:space="preserve">for </w:t>
      </w:r>
      <w:r w:rsidR="0033745C">
        <w:rPr>
          <w:rFonts w:ascii="Segoe UI" w:hAnsi="Segoe UI" w:cs="Segoe UI"/>
          <w:sz w:val="20"/>
          <w:szCs w:val="20"/>
        </w:rPr>
        <w:t>free</w:t>
      </w:r>
      <w:r w:rsidRPr="00F908A9">
        <w:rPr>
          <w:rFonts w:ascii="Segoe UI" w:hAnsi="Segoe UI" w:cs="Segoe UI"/>
          <w:sz w:val="20"/>
          <w:szCs w:val="20"/>
        </w:rPr>
        <w:t>.</w:t>
      </w:r>
    </w:p>
    <w:p w14:paraId="6E6A40AB" w14:textId="77777777" w:rsidR="00F908A9" w:rsidRDefault="00F908A9" w:rsidP="00E31F88">
      <w:pPr>
        <w:pStyle w:val="NoSpacing"/>
        <w:pBdr>
          <w:bottom w:val="single" w:sz="6" w:space="1" w:color="auto"/>
        </w:pBdr>
        <w:rPr>
          <w:rFonts w:ascii="Segoe UI" w:hAnsi="Segoe UI" w:cs="Segoe UI"/>
          <w:sz w:val="20"/>
          <w:szCs w:val="20"/>
        </w:rPr>
        <w:sectPr w:rsidR="00F908A9" w:rsidSect="009123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39ACE0" w14:textId="1FB4994F" w:rsidR="00912336" w:rsidRPr="00F908A9" w:rsidRDefault="00912336" w:rsidP="00E31F88">
      <w:pPr>
        <w:pStyle w:val="NoSpacing"/>
        <w:pBdr>
          <w:bottom w:val="single" w:sz="6" w:space="1" w:color="auto"/>
        </w:pBdr>
        <w:rPr>
          <w:rFonts w:ascii="Segoe UI" w:hAnsi="Segoe UI" w:cs="Segoe UI"/>
          <w:sz w:val="20"/>
          <w:szCs w:val="20"/>
        </w:rPr>
      </w:pPr>
    </w:p>
    <w:p w14:paraId="78A29407" w14:textId="77777777" w:rsidR="00912336" w:rsidRPr="00F908A9" w:rsidRDefault="00912336" w:rsidP="00E31F88">
      <w:pPr>
        <w:pStyle w:val="NoSpacing"/>
        <w:rPr>
          <w:rFonts w:ascii="Segoe UI" w:hAnsi="Segoe UI" w:cs="Segoe UI"/>
          <w:sz w:val="20"/>
          <w:szCs w:val="20"/>
        </w:rPr>
      </w:pPr>
    </w:p>
    <w:p w14:paraId="75E2A6AD" w14:textId="77777777" w:rsidR="00912336" w:rsidRDefault="00912336" w:rsidP="009E2C8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noProof/>
          <w:sz w:val="44"/>
        </w:rPr>
        <w:sectPr w:rsidR="00912336" w:rsidSect="009123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A3CADD" w14:textId="2548D366" w:rsidR="0026762D" w:rsidRPr="009E2C8E" w:rsidRDefault="005066BD" w:rsidP="009E2C8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83B541"/>
          <w:spacing w:val="-2"/>
        </w:rPr>
      </w:pPr>
      <w:r w:rsidRPr="005066BD">
        <w:rPr>
          <w:noProof/>
          <w:sz w:val="44"/>
        </w:rPr>
        <w:t xml:space="preserve"> </w:t>
      </w:r>
    </w:p>
    <w:sectPr w:rsidR="0026762D" w:rsidRPr="009E2C8E" w:rsidSect="00E0136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C10B" w14:textId="77777777" w:rsidR="00DA5B80" w:rsidRDefault="00DA5B80" w:rsidP="005066BD">
      <w:pPr>
        <w:spacing w:after="0" w:line="240" w:lineRule="auto"/>
      </w:pPr>
      <w:r>
        <w:separator/>
      </w:r>
    </w:p>
  </w:endnote>
  <w:endnote w:type="continuationSeparator" w:id="0">
    <w:p w14:paraId="37B3BE45" w14:textId="77777777" w:rsidR="00DA5B80" w:rsidRDefault="00DA5B80" w:rsidP="0050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95C9" w14:textId="77777777" w:rsidR="00A472EC" w:rsidRDefault="00A47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FBBB" w14:textId="77777777" w:rsidR="00A472EC" w:rsidRDefault="00A47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6816" w14:textId="77777777" w:rsidR="00A472EC" w:rsidRDefault="00A47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2653C" w14:textId="77777777" w:rsidR="00DA5B80" w:rsidRDefault="00DA5B80" w:rsidP="005066BD">
      <w:pPr>
        <w:spacing w:after="0" w:line="240" w:lineRule="auto"/>
      </w:pPr>
      <w:r>
        <w:separator/>
      </w:r>
    </w:p>
  </w:footnote>
  <w:footnote w:type="continuationSeparator" w:id="0">
    <w:p w14:paraId="0C8FC303" w14:textId="77777777" w:rsidR="00DA5B80" w:rsidRDefault="00DA5B80" w:rsidP="0050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5880" w14:textId="77777777" w:rsidR="00A472EC" w:rsidRDefault="00A47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0AF08" w14:textId="77777777" w:rsidR="00E01365" w:rsidRDefault="00E01365" w:rsidP="00E01365">
    <w:pPr>
      <w:pStyle w:val="Header"/>
    </w:pPr>
  </w:p>
  <w:p w14:paraId="574FD6E0" w14:textId="5F0A6EC6" w:rsidR="005066BD" w:rsidRDefault="00A472EC" w:rsidP="00E01365">
    <w:pPr>
      <w:pStyle w:val="Header"/>
      <w:jc w:val="center"/>
    </w:pPr>
    <w:r>
      <w:rPr>
        <w:noProof/>
      </w:rPr>
      <w:drawing>
        <wp:inline distT="0" distB="0" distL="0" distR="0" wp14:anchorId="5F23FBAA" wp14:editId="375FC876">
          <wp:extent cx="2202180" cy="112834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7" cy="1142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2CE7F" w14:textId="77777777" w:rsidR="00912336" w:rsidRDefault="00912336" w:rsidP="00E01365">
    <w:pPr>
      <w:pStyle w:val="Header"/>
      <w:jc w:val="center"/>
    </w:pPr>
  </w:p>
  <w:p w14:paraId="5FB8ADEF" w14:textId="77777777" w:rsidR="00912336" w:rsidRDefault="00912336" w:rsidP="00E0136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95E1" w14:textId="77777777" w:rsidR="00A472EC" w:rsidRDefault="00A4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BD"/>
    <w:rsid w:val="00057DD5"/>
    <w:rsid w:val="00063E5A"/>
    <w:rsid w:val="00077B69"/>
    <w:rsid w:val="000829FF"/>
    <w:rsid w:val="000D10FE"/>
    <w:rsid w:val="00122390"/>
    <w:rsid w:val="00163A6A"/>
    <w:rsid w:val="001843CE"/>
    <w:rsid w:val="001E638C"/>
    <w:rsid w:val="001E7F6C"/>
    <w:rsid w:val="00200E01"/>
    <w:rsid w:val="002025D2"/>
    <w:rsid w:val="002109C4"/>
    <w:rsid w:val="00231262"/>
    <w:rsid w:val="00243532"/>
    <w:rsid w:val="00266031"/>
    <w:rsid w:val="0026762D"/>
    <w:rsid w:val="002A0563"/>
    <w:rsid w:val="002A537D"/>
    <w:rsid w:val="002A5CCA"/>
    <w:rsid w:val="002D4D9F"/>
    <w:rsid w:val="002E26C6"/>
    <w:rsid w:val="002E3995"/>
    <w:rsid w:val="0033745C"/>
    <w:rsid w:val="00342AA5"/>
    <w:rsid w:val="003B4E20"/>
    <w:rsid w:val="0045201B"/>
    <w:rsid w:val="00477827"/>
    <w:rsid w:val="0049562D"/>
    <w:rsid w:val="0049748C"/>
    <w:rsid w:val="004A777A"/>
    <w:rsid w:val="00504555"/>
    <w:rsid w:val="005066BD"/>
    <w:rsid w:val="00564649"/>
    <w:rsid w:val="005752A1"/>
    <w:rsid w:val="005C0172"/>
    <w:rsid w:val="005D1EB4"/>
    <w:rsid w:val="00652048"/>
    <w:rsid w:val="006905F5"/>
    <w:rsid w:val="00694756"/>
    <w:rsid w:val="00694B5F"/>
    <w:rsid w:val="006C3B1B"/>
    <w:rsid w:val="006E4659"/>
    <w:rsid w:val="00781536"/>
    <w:rsid w:val="007A3980"/>
    <w:rsid w:val="007F3E67"/>
    <w:rsid w:val="007F7870"/>
    <w:rsid w:val="008602BB"/>
    <w:rsid w:val="0088592D"/>
    <w:rsid w:val="008D6476"/>
    <w:rsid w:val="008D7B57"/>
    <w:rsid w:val="00904D25"/>
    <w:rsid w:val="00912336"/>
    <w:rsid w:val="00921DA0"/>
    <w:rsid w:val="009469E0"/>
    <w:rsid w:val="009829DA"/>
    <w:rsid w:val="009A14A5"/>
    <w:rsid w:val="009B54DE"/>
    <w:rsid w:val="009C0D4C"/>
    <w:rsid w:val="009C5FE1"/>
    <w:rsid w:val="009E2C8E"/>
    <w:rsid w:val="009F29FD"/>
    <w:rsid w:val="009F3FE5"/>
    <w:rsid w:val="00A34577"/>
    <w:rsid w:val="00A472EC"/>
    <w:rsid w:val="00A8353B"/>
    <w:rsid w:val="00AB38CB"/>
    <w:rsid w:val="00AC2055"/>
    <w:rsid w:val="00AD0C91"/>
    <w:rsid w:val="00B2455C"/>
    <w:rsid w:val="00B67D74"/>
    <w:rsid w:val="00BC1011"/>
    <w:rsid w:val="00BC2732"/>
    <w:rsid w:val="00BC6648"/>
    <w:rsid w:val="00BD2A08"/>
    <w:rsid w:val="00BD5709"/>
    <w:rsid w:val="00BF1021"/>
    <w:rsid w:val="00C22CEA"/>
    <w:rsid w:val="00C47ED0"/>
    <w:rsid w:val="00C56276"/>
    <w:rsid w:val="00CC54DE"/>
    <w:rsid w:val="00D92734"/>
    <w:rsid w:val="00DA5B80"/>
    <w:rsid w:val="00DF7FD2"/>
    <w:rsid w:val="00E01365"/>
    <w:rsid w:val="00E31F88"/>
    <w:rsid w:val="00EB133A"/>
    <w:rsid w:val="00EB35B4"/>
    <w:rsid w:val="00EE1C6B"/>
    <w:rsid w:val="00F1126E"/>
    <w:rsid w:val="00F25B12"/>
    <w:rsid w:val="00F75C4A"/>
    <w:rsid w:val="00F843D5"/>
    <w:rsid w:val="00F85F11"/>
    <w:rsid w:val="00F908A9"/>
    <w:rsid w:val="00F958E7"/>
    <w:rsid w:val="00FB2299"/>
    <w:rsid w:val="00FD589F"/>
    <w:rsid w:val="00FE65E7"/>
    <w:rsid w:val="4667F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5E9A2"/>
  <w15:chartTrackingRefBased/>
  <w15:docId w15:val="{4776E28E-1BF9-4DE4-B2CB-7386E673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B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38C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B38CB"/>
    <w:rPr>
      <w:b/>
      <w:bCs/>
      <w:color w:val="000000"/>
      <w:w w:val="100"/>
    </w:rPr>
  </w:style>
  <w:style w:type="paragraph" w:styleId="NoSpacing">
    <w:name w:val="No Spacing"/>
    <w:basedOn w:val="Normal"/>
    <w:uiPriority w:val="1"/>
    <w:qFormat/>
    <w:rsid w:val="00AB38C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0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BD"/>
  </w:style>
  <w:style w:type="paragraph" w:styleId="Footer">
    <w:name w:val="footer"/>
    <w:basedOn w:val="Normal"/>
    <w:link w:val="FooterChar"/>
    <w:uiPriority w:val="99"/>
    <w:unhideWhenUsed/>
    <w:rsid w:val="0050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BD"/>
  </w:style>
  <w:style w:type="paragraph" w:customStyle="1" w:styleId="BasicParagraph">
    <w:name w:val="[Basic Paragraph]"/>
    <w:basedOn w:val="Normal"/>
    <w:uiPriority w:val="99"/>
    <w:rsid w:val="005066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066BD"/>
    <w:pPr>
      <w:suppressAutoHyphens/>
      <w:autoSpaceDE w:val="0"/>
      <w:autoSpaceDN w:val="0"/>
      <w:adjustRightInd w:val="0"/>
      <w:spacing w:after="0" w:line="288" w:lineRule="auto"/>
      <w:ind w:left="72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E31F8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31F8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31F8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yCPEMonitor.ne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MyCPEMonitor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Lynndi Koester</dc:creator>
  <cp:keywords/>
  <dc:description/>
  <cp:lastModifiedBy>Christine Lodge</cp:lastModifiedBy>
  <cp:revision>11</cp:revision>
  <dcterms:created xsi:type="dcterms:W3CDTF">2019-11-04T19:17:00Z</dcterms:created>
  <dcterms:modified xsi:type="dcterms:W3CDTF">2019-11-25T21:31:00Z</dcterms:modified>
</cp:coreProperties>
</file>